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36BA0" w14:textId="77777777" w:rsidR="00A0534A" w:rsidRPr="006E2416" w:rsidRDefault="00A0534A" w:rsidP="0027134A">
      <w:pPr>
        <w:spacing w:line="240" w:lineRule="auto"/>
        <w:jc w:val="both"/>
        <w:rPr>
          <w:rFonts w:ascii="Calibri" w:eastAsia="Times New Roman" w:hAnsi="Calibri"/>
          <w:b/>
        </w:rPr>
      </w:pPr>
      <w:r w:rsidRPr="006E2416">
        <w:rPr>
          <w:rFonts w:ascii="Calibri" w:eastAsia="Times New Roman" w:hAnsi="Calibri"/>
          <w:b/>
        </w:rPr>
        <w:t xml:space="preserve">Subchapter </w:t>
      </w:r>
      <w:proofErr w:type="gramStart"/>
      <w:r w:rsidRPr="006E2416">
        <w:rPr>
          <w:rFonts w:ascii="Calibri" w:eastAsia="Times New Roman" w:hAnsi="Calibri"/>
          <w:b/>
        </w:rPr>
        <w:t>A</w:t>
      </w:r>
      <w:proofErr w:type="gramEnd"/>
      <w:r w:rsidRPr="006E2416">
        <w:rPr>
          <w:rFonts w:ascii="Calibri" w:eastAsia="Times New Roman" w:hAnsi="Calibri"/>
          <w:b/>
        </w:rPr>
        <w:tab/>
      </w:r>
      <w:r w:rsidRPr="006E2416">
        <w:rPr>
          <w:rFonts w:ascii="Calibri" w:eastAsia="Times New Roman" w:hAnsi="Calibri"/>
          <w:b/>
        </w:rPr>
        <w:tab/>
        <w:t>General</w:t>
      </w:r>
    </w:p>
    <w:p w14:paraId="63AEE6BD" w14:textId="77777777" w:rsidR="006E2416" w:rsidRDefault="006E2416" w:rsidP="0027134A">
      <w:pPr>
        <w:spacing w:line="240" w:lineRule="auto"/>
        <w:jc w:val="both"/>
        <w:rPr>
          <w:rFonts w:ascii="Calibri" w:eastAsia="Times New Roman" w:hAnsi="Calibri"/>
        </w:rPr>
      </w:pPr>
    </w:p>
    <w:p w14:paraId="35A4AA33" w14:textId="6048B409" w:rsidR="00A0534A" w:rsidRPr="008D3DBF" w:rsidRDefault="00A0534A" w:rsidP="0027134A">
      <w:pPr>
        <w:spacing w:line="240" w:lineRule="auto"/>
        <w:jc w:val="both"/>
        <w:rPr>
          <w:rFonts w:ascii="Calibri" w:eastAsia="Times New Roman" w:hAnsi="Calibri"/>
        </w:rPr>
      </w:pPr>
      <w:r w:rsidRPr="008D3DBF">
        <w:rPr>
          <w:rFonts w:ascii="Calibri" w:eastAsia="Times New Roman" w:hAnsi="Calibri"/>
        </w:rPr>
        <w:t>§2.101</w:t>
      </w:r>
      <w:r w:rsidRPr="008D3DBF">
        <w:rPr>
          <w:rFonts w:ascii="Calibri" w:eastAsia="Times New Roman" w:hAnsi="Calibri"/>
        </w:rPr>
        <w:tab/>
      </w:r>
      <w:r w:rsidRPr="008D3DBF">
        <w:rPr>
          <w:rFonts w:ascii="Calibri" w:eastAsia="Times New Roman" w:hAnsi="Calibri"/>
        </w:rPr>
        <w:tab/>
        <w:t xml:space="preserve">Policy and Purpose </w:t>
      </w:r>
    </w:p>
    <w:p w14:paraId="09222E89" w14:textId="77777777" w:rsidR="00A0534A" w:rsidRPr="008D3DBF" w:rsidRDefault="00A0534A" w:rsidP="0027134A">
      <w:pPr>
        <w:spacing w:line="240" w:lineRule="auto"/>
        <w:jc w:val="both"/>
        <w:rPr>
          <w:rFonts w:ascii="Calibri" w:eastAsia="Times New Roman" w:hAnsi="Calibri"/>
        </w:rPr>
      </w:pPr>
    </w:p>
    <w:p w14:paraId="779B2E90" w14:textId="40EF2D7E" w:rsidR="00A0534A" w:rsidRPr="008D3ED2" w:rsidRDefault="00A0534A" w:rsidP="0027134A">
      <w:pPr>
        <w:autoSpaceDE w:val="0"/>
        <w:autoSpaceDN w:val="0"/>
        <w:adjustRightInd w:val="0"/>
        <w:spacing w:line="240" w:lineRule="auto"/>
        <w:jc w:val="both"/>
        <w:rPr>
          <w:rFonts w:ascii="Calibri" w:eastAsia="Times New Roman" w:hAnsi="Calibri"/>
        </w:rPr>
      </w:pPr>
      <w:r w:rsidRPr="008D3DBF">
        <w:rPr>
          <w:rFonts w:ascii="Calibri" w:eastAsia="Times New Roman" w:hAnsi="Calibri"/>
        </w:rPr>
        <w:t>(</w:t>
      </w:r>
      <w:r>
        <w:rPr>
          <w:rFonts w:ascii="Calibri" w:eastAsia="Times New Roman" w:hAnsi="Calibri"/>
        </w:rPr>
        <w:t>a</w:t>
      </w:r>
      <w:r w:rsidRPr="008D3DBF">
        <w:rPr>
          <w:rFonts w:ascii="Calibri" w:eastAsia="Times New Roman" w:hAnsi="Calibri"/>
        </w:rPr>
        <w:t xml:space="preserve">) This chapter sets forth the </w:t>
      </w:r>
      <w:r>
        <w:rPr>
          <w:rFonts w:ascii="Calibri" w:eastAsia="Times New Roman" w:hAnsi="Calibri"/>
        </w:rPr>
        <w:t xml:space="preserve">enforcement </w:t>
      </w:r>
      <w:r w:rsidRPr="008D3DBF">
        <w:rPr>
          <w:rFonts w:ascii="Calibri" w:eastAsia="Times New Roman" w:hAnsi="Calibri"/>
        </w:rPr>
        <w:t>mechanisms that the Department may use to bring about compliant administration of Department funded programs, state or federal, and</w:t>
      </w:r>
      <w:r>
        <w:rPr>
          <w:rFonts w:ascii="Calibri" w:eastAsia="Times New Roman" w:hAnsi="Calibri"/>
        </w:rPr>
        <w:t xml:space="preserve"> exclude or remove from Department programs, Persons </w:t>
      </w:r>
      <w:r w:rsidRPr="008D3DBF">
        <w:rPr>
          <w:rFonts w:ascii="Calibri" w:eastAsia="Times New Roman" w:hAnsi="Calibri"/>
        </w:rPr>
        <w:t xml:space="preserve">who have established, through </w:t>
      </w:r>
      <w:r>
        <w:rPr>
          <w:rFonts w:ascii="Calibri" w:eastAsia="Times New Roman" w:hAnsi="Calibri"/>
        </w:rPr>
        <w:t xml:space="preserve">certain noncompliant </w:t>
      </w:r>
      <w:r w:rsidRPr="008D3DBF">
        <w:rPr>
          <w:rFonts w:ascii="Calibri" w:eastAsia="Times New Roman" w:hAnsi="Calibri"/>
        </w:rPr>
        <w:t xml:space="preserve">behavior that they are either unwilling to </w:t>
      </w:r>
      <w:r>
        <w:rPr>
          <w:rFonts w:ascii="Calibri" w:eastAsia="Times New Roman" w:hAnsi="Calibri"/>
        </w:rPr>
        <w:t xml:space="preserve">act </w:t>
      </w:r>
      <w:r w:rsidRPr="008D3DBF">
        <w:rPr>
          <w:rFonts w:ascii="Calibri" w:eastAsia="Times New Roman" w:hAnsi="Calibri"/>
        </w:rPr>
        <w:t xml:space="preserve">in a </w:t>
      </w:r>
      <w:r>
        <w:rPr>
          <w:rFonts w:ascii="Calibri" w:eastAsia="Times New Roman" w:hAnsi="Calibri"/>
        </w:rPr>
        <w:t xml:space="preserve">compliant </w:t>
      </w:r>
      <w:r w:rsidRPr="008D3DBF">
        <w:rPr>
          <w:rFonts w:ascii="Calibri" w:eastAsia="Times New Roman" w:hAnsi="Calibri"/>
        </w:rPr>
        <w:t>manner</w:t>
      </w:r>
      <w:r>
        <w:rPr>
          <w:rFonts w:ascii="Calibri" w:eastAsia="Times New Roman" w:hAnsi="Calibri"/>
        </w:rPr>
        <w:t>,</w:t>
      </w:r>
      <w:r w:rsidRPr="008D3DBF">
        <w:rPr>
          <w:rFonts w:ascii="Calibri" w:eastAsia="Times New Roman" w:hAnsi="Calibri"/>
        </w:rPr>
        <w:t xml:space="preserve"> or are unable to do so. </w:t>
      </w:r>
      <w:r w:rsidRPr="008D3ED2">
        <w:rPr>
          <w:rFonts w:ascii="Calibri" w:eastAsia="Times New Roman" w:hAnsi="Calibri"/>
        </w:rPr>
        <w:t>These</w:t>
      </w:r>
      <w:r w:rsidRPr="00BD0345">
        <w:rPr>
          <w:color w:val="2E98D4"/>
        </w:rPr>
        <w:t xml:space="preserve"> </w:t>
      </w:r>
      <w:r w:rsidRPr="008D3ED2">
        <w:rPr>
          <w:rFonts w:ascii="Calibri" w:eastAsia="Times New Roman" w:hAnsi="Calibri"/>
        </w:rPr>
        <w:t>enforcement mechanisms are in addition to any available contractual remedies under program agreements.</w:t>
      </w:r>
    </w:p>
    <w:p w14:paraId="7842B9B1" w14:textId="1D4F69F8" w:rsidR="0009076D" w:rsidRDefault="0009076D" w:rsidP="0027134A">
      <w:pPr>
        <w:pStyle w:val="NoSpacing"/>
      </w:pPr>
    </w:p>
    <w:p w14:paraId="61EBD8ED" w14:textId="74659645" w:rsidR="00A0534A" w:rsidRPr="00F97BCC" w:rsidRDefault="00A0534A" w:rsidP="00F97BCC">
      <w:pPr>
        <w:autoSpaceDE w:val="0"/>
        <w:autoSpaceDN w:val="0"/>
        <w:adjustRightInd w:val="0"/>
        <w:spacing w:line="240" w:lineRule="auto"/>
        <w:jc w:val="both"/>
        <w:rPr>
          <w:rFonts w:ascii="Calibri" w:eastAsia="Times New Roman" w:hAnsi="Calibri"/>
        </w:rPr>
      </w:pPr>
      <w:r w:rsidRPr="00F97BCC">
        <w:rPr>
          <w:rFonts w:ascii="Calibri" w:eastAsia="Times New Roman" w:hAnsi="Calibri"/>
        </w:rPr>
        <w:t xml:space="preserve">§2.102 </w:t>
      </w:r>
      <w:r w:rsidRPr="00F97BCC">
        <w:rPr>
          <w:rFonts w:ascii="Calibri" w:eastAsia="Times New Roman" w:hAnsi="Calibri"/>
        </w:rPr>
        <w:tab/>
        <w:t>Definitions</w:t>
      </w:r>
    </w:p>
    <w:p w14:paraId="2FEDE719" w14:textId="77777777" w:rsidR="00A0534A" w:rsidRPr="00860C71" w:rsidRDefault="00A0534A" w:rsidP="0027134A">
      <w:pPr>
        <w:pStyle w:val="NoSpacing"/>
      </w:pPr>
    </w:p>
    <w:p w14:paraId="54C76C3E" w14:textId="4777F69C" w:rsidR="00A0534A" w:rsidRDefault="00A0534A" w:rsidP="0027134A">
      <w:pPr>
        <w:pStyle w:val="NoSpacing"/>
        <w:rPr>
          <w:rFonts w:ascii="Calibri" w:hAnsi="Calibri"/>
          <w:sz w:val="24"/>
          <w:szCs w:val="24"/>
        </w:rPr>
      </w:pPr>
      <w:r w:rsidRPr="00860C71">
        <w:rPr>
          <w:rFonts w:ascii="Calibri" w:hAnsi="Calibri"/>
          <w:sz w:val="24"/>
          <w:szCs w:val="24"/>
        </w:rPr>
        <w:t xml:space="preserve">The words and terms, when used in this chapter, shall have the following meanings, unless the context clearly indicates otherwise. Capitalized words used herein have the meaning assigned in the specific </w:t>
      </w:r>
      <w:r>
        <w:rPr>
          <w:rFonts w:ascii="Calibri" w:hAnsi="Calibri"/>
          <w:sz w:val="24"/>
          <w:szCs w:val="24"/>
        </w:rPr>
        <w:t xml:space="preserve">chapters </w:t>
      </w:r>
      <w:r w:rsidRPr="00860C71">
        <w:rPr>
          <w:rFonts w:ascii="Calibri" w:hAnsi="Calibri"/>
          <w:sz w:val="24"/>
          <w:szCs w:val="24"/>
        </w:rPr>
        <w:t>of this Title that govern the program associated with the request,</w:t>
      </w:r>
      <w:r w:rsidR="007042A3">
        <w:rPr>
          <w:rFonts w:ascii="Calibri" w:hAnsi="Calibri"/>
          <w:sz w:val="24"/>
          <w:szCs w:val="24"/>
        </w:rPr>
        <w:t xml:space="preserve"> in Chapter 1 of this Title, </w:t>
      </w:r>
      <w:r w:rsidRPr="00860C71">
        <w:rPr>
          <w:rFonts w:ascii="Calibri" w:hAnsi="Calibri"/>
          <w:sz w:val="24"/>
          <w:szCs w:val="24"/>
        </w:rPr>
        <w:t xml:space="preserve"> or assigned by federal or state law.</w:t>
      </w:r>
    </w:p>
    <w:p w14:paraId="01906F47" w14:textId="435B97BD" w:rsidR="00A0534A" w:rsidRPr="00860C71" w:rsidRDefault="00A0534A" w:rsidP="0027134A">
      <w:pPr>
        <w:pStyle w:val="NoSpacing"/>
        <w:jc w:val="both"/>
        <w:rPr>
          <w:rFonts w:ascii="Calibri" w:hAnsi="Calibri"/>
          <w:sz w:val="24"/>
          <w:szCs w:val="24"/>
        </w:rPr>
      </w:pPr>
      <w:r>
        <w:rPr>
          <w:rFonts w:ascii="Calibri" w:hAnsi="Calibri"/>
          <w:sz w:val="24"/>
          <w:szCs w:val="24"/>
        </w:rPr>
        <w:t>(1) Actively Monitored Development</w:t>
      </w:r>
      <w:r w:rsidR="0009076D">
        <w:rPr>
          <w:rFonts w:ascii="Calibri" w:hAnsi="Calibri"/>
          <w:sz w:val="24"/>
          <w:szCs w:val="24"/>
        </w:rPr>
        <w:t>-</w:t>
      </w:r>
      <w:r>
        <w:rPr>
          <w:rFonts w:ascii="Calibri" w:hAnsi="Calibri"/>
          <w:sz w:val="24"/>
          <w:szCs w:val="24"/>
        </w:rPr>
        <w:t>-</w:t>
      </w:r>
      <w:r w:rsidRPr="0063182F">
        <w:rPr>
          <w:rFonts w:ascii="Calibri" w:hAnsi="Calibri"/>
          <w:sz w:val="24"/>
          <w:szCs w:val="24"/>
        </w:rPr>
        <w:t>A Development that within the last three years has been monitored by the Department, either through a Uniform Physical Condition Standards (UPCS) inspection, an onsite or desk file monitoring review, an Affirmative Marketing Plan review, or a Written Policies and Procedures Review. UPCS inspections include inspections completed by Department staff, Department contractors and inspectors from the Real Estate Assessment Center through federal alignment efforts.</w:t>
      </w:r>
    </w:p>
    <w:p w14:paraId="1D09A7B9" w14:textId="476113DB" w:rsidR="00A0534A" w:rsidRDefault="00A0534A" w:rsidP="0027134A">
      <w:pPr>
        <w:pStyle w:val="NoSpacing"/>
        <w:tabs>
          <w:tab w:val="left" w:pos="7110"/>
        </w:tabs>
        <w:rPr>
          <w:rFonts w:ascii="Calibri" w:hAnsi="Calibri"/>
          <w:sz w:val="24"/>
          <w:szCs w:val="24"/>
        </w:rPr>
      </w:pPr>
      <w:r>
        <w:rPr>
          <w:rFonts w:ascii="Calibri" w:hAnsi="Calibri"/>
          <w:sz w:val="24"/>
          <w:szCs w:val="24"/>
        </w:rPr>
        <w:t> </w:t>
      </w:r>
      <w:r w:rsidRPr="00860C71">
        <w:rPr>
          <w:rFonts w:ascii="Calibri" w:hAnsi="Calibri"/>
          <w:sz w:val="24"/>
          <w:szCs w:val="24"/>
        </w:rPr>
        <w:t>(</w:t>
      </w:r>
      <w:r>
        <w:rPr>
          <w:rFonts w:ascii="Calibri" w:hAnsi="Calibri"/>
          <w:sz w:val="24"/>
          <w:szCs w:val="24"/>
        </w:rPr>
        <w:t>2</w:t>
      </w:r>
      <w:r w:rsidRPr="00860C71">
        <w:rPr>
          <w:rFonts w:ascii="Calibri" w:hAnsi="Calibri"/>
          <w:sz w:val="24"/>
          <w:szCs w:val="24"/>
        </w:rPr>
        <w:t>) Consultant</w:t>
      </w:r>
      <w:r w:rsidR="0009076D">
        <w:rPr>
          <w:rFonts w:ascii="Calibri" w:hAnsi="Calibri"/>
          <w:sz w:val="24"/>
          <w:szCs w:val="24"/>
        </w:rPr>
        <w:t>--</w:t>
      </w:r>
      <w:r>
        <w:rPr>
          <w:rFonts w:ascii="Calibri" w:hAnsi="Calibri"/>
          <w:sz w:val="24"/>
          <w:szCs w:val="24"/>
        </w:rPr>
        <w:t xml:space="preserve">A Person </w:t>
      </w:r>
      <w:r w:rsidRPr="00860C71">
        <w:rPr>
          <w:rFonts w:ascii="Calibri" w:hAnsi="Calibri"/>
          <w:sz w:val="24"/>
          <w:szCs w:val="24"/>
        </w:rPr>
        <w:t xml:space="preserve">who provides services or advice for a fee </w:t>
      </w:r>
      <w:r>
        <w:rPr>
          <w:rFonts w:ascii="Calibri" w:hAnsi="Calibri"/>
          <w:sz w:val="24"/>
          <w:szCs w:val="24"/>
        </w:rPr>
        <w:t xml:space="preserve">in a capacity other than </w:t>
      </w:r>
      <w:r w:rsidRPr="00860C71">
        <w:rPr>
          <w:rFonts w:ascii="Calibri" w:hAnsi="Calibri"/>
          <w:sz w:val="24"/>
          <w:szCs w:val="24"/>
        </w:rPr>
        <w:t>as an employee</w:t>
      </w:r>
      <w:r>
        <w:rPr>
          <w:rFonts w:ascii="Calibri" w:hAnsi="Calibri"/>
          <w:sz w:val="24"/>
          <w:szCs w:val="24"/>
        </w:rPr>
        <w:t xml:space="preserve"> and does not have Control</w:t>
      </w:r>
      <w:r w:rsidRPr="00860C71">
        <w:rPr>
          <w:rFonts w:ascii="Calibri" w:hAnsi="Calibri"/>
          <w:sz w:val="24"/>
          <w:szCs w:val="24"/>
        </w:rPr>
        <w:t>.</w:t>
      </w:r>
    </w:p>
    <w:p w14:paraId="16742F24" w14:textId="243D5146" w:rsidR="00A0534A" w:rsidRDefault="00A0534A" w:rsidP="0027134A">
      <w:pPr>
        <w:pStyle w:val="NoSpacing"/>
        <w:tabs>
          <w:tab w:val="left" w:pos="7110"/>
        </w:tabs>
        <w:rPr>
          <w:rFonts w:ascii="Calibri" w:hAnsi="Calibri"/>
          <w:sz w:val="24"/>
          <w:szCs w:val="24"/>
        </w:rPr>
      </w:pPr>
      <w:r>
        <w:rPr>
          <w:rFonts w:ascii="Calibri" w:hAnsi="Calibri"/>
          <w:sz w:val="24"/>
          <w:szCs w:val="24"/>
        </w:rPr>
        <w:t>(3) Control (including the terms Controlled and Controlling</w:t>
      </w:r>
      <w:r w:rsidR="006A7318">
        <w:rPr>
          <w:rFonts w:ascii="Calibri" w:hAnsi="Calibri"/>
          <w:sz w:val="24"/>
          <w:szCs w:val="24"/>
        </w:rPr>
        <w:t>)</w:t>
      </w:r>
      <w:r w:rsidR="0009076D">
        <w:rPr>
          <w:rFonts w:ascii="Calibri" w:hAnsi="Calibri"/>
          <w:sz w:val="24"/>
          <w:szCs w:val="24"/>
        </w:rPr>
        <w:t>--</w:t>
      </w:r>
      <w:r>
        <w:rPr>
          <w:rFonts w:ascii="Calibri" w:hAnsi="Calibri"/>
          <w:sz w:val="24"/>
          <w:szCs w:val="24"/>
        </w:rPr>
        <w:t>“Control” is defined in 10 TAC Chapter §11.1 of this Title</w:t>
      </w:r>
      <w:r w:rsidR="003627BD">
        <w:rPr>
          <w:rFonts w:ascii="Calibri" w:hAnsi="Calibri"/>
          <w:sz w:val="24"/>
          <w:szCs w:val="24"/>
        </w:rPr>
        <w:t xml:space="preserve"> </w:t>
      </w:r>
      <w:r w:rsidR="003627BD" w:rsidRPr="005932B0">
        <w:rPr>
          <w:rFonts w:ascii="Calibri" w:hAnsi="Calibri"/>
          <w:sz w:val="24"/>
          <w:szCs w:val="24"/>
        </w:rPr>
        <w:t xml:space="preserve">or as </w:t>
      </w:r>
      <w:r w:rsidR="00B657AB" w:rsidRPr="005932B0">
        <w:rPr>
          <w:rFonts w:ascii="Calibri" w:hAnsi="Calibri"/>
          <w:sz w:val="24"/>
          <w:szCs w:val="24"/>
        </w:rPr>
        <w:t>identified</w:t>
      </w:r>
      <w:r w:rsidR="003627BD" w:rsidRPr="005932B0">
        <w:rPr>
          <w:rFonts w:ascii="Calibri" w:hAnsi="Calibri"/>
          <w:sz w:val="24"/>
          <w:szCs w:val="24"/>
        </w:rPr>
        <w:t xml:space="preserve"> in the specific Program rule</w:t>
      </w:r>
    </w:p>
    <w:p w14:paraId="02412946" w14:textId="0E0943CC" w:rsidR="00A0534A" w:rsidRDefault="00A0534A" w:rsidP="0027134A">
      <w:pPr>
        <w:pStyle w:val="NoSpacing"/>
        <w:tabs>
          <w:tab w:val="left" w:pos="7110"/>
        </w:tabs>
        <w:rPr>
          <w:rFonts w:ascii="Calibri" w:hAnsi="Calibri"/>
          <w:sz w:val="24"/>
          <w:szCs w:val="24"/>
        </w:rPr>
      </w:pPr>
      <w:r>
        <w:rPr>
          <w:rFonts w:ascii="Calibri" w:hAnsi="Calibri"/>
          <w:sz w:val="24"/>
          <w:szCs w:val="24"/>
        </w:rPr>
        <w:t>(4) Debarment</w:t>
      </w:r>
      <w:r w:rsidR="0009076D">
        <w:rPr>
          <w:rFonts w:ascii="Calibri" w:hAnsi="Calibri"/>
          <w:sz w:val="24"/>
          <w:szCs w:val="24"/>
        </w:rPr>
        <w:t>--</w:t>
      </w:r>
      <w:r>
        <w:rPr>
          <w:rFonts w:ascii="Calibri" w:hAnsi="Calibri"/>
          <w:sz w:val="24"/>
          <w:szCs w:val="24"/>
        </w:rPr>
        <w:t xml:space="preserve">A prohibition from future participation in some or all Programs administered by the Department. Except as otherwise stated in the Order, Debarment does not impact existing or ongoing participation in Department Programs, prior to the date of the Debarment, nor does it affect any continuing responsibilities or duties thereunder. </w:t>
      </w:r>
    </w:p>
    <w:p w14:paraId="18D90C34" w14:textId="508D9A8F" w:rsidR="00A0534A" w:rsidRDefault="00A0534A" w:rsidP="0027134A">
      <w:pPr>
        <w:pStyle w:val="NoSpacing"/>
        <w:rPr>
          <w:rFonts w:ascii="Calibri" w:eastAsia="Times New Roman" w:hAnsi="Calibri" w:cs="Times New Roman"/>
          <w:sz w:val="24"/>
          <w:szCs w:val="24"/>
        </w:rPr>
      </w:pPr>
      <w:r w:rsidRPr="00860C71">
        <w:rPr>
          <w:rFonts w:ascii="Calibri" w:eastAsia="Times New Roman" w:hAnsi="Calibri" w:cs="Times New Roman"/>
          <w:sz w:val="24"/>
          <w:szCs w:val="24"/>
        </w:rPr>
        <w:t> (</w:t>
      </w:r>
      <w:r>
        <w:rPr>
          <w:rFonts w:ascii="Calibri" w:eastAsia="Times New Roman" w:hAnsi="Calibri" w:cs="Times New Roman"/>
          <w:sz w:val="24"/>
          <w:szCs w:val="24"/>
        </w:rPr>
        <w:t>5</w:t>
      </w:r>
      <w:r w:rsidRPr="00860C71">
        <w:rPr>
          <w:rFonts w:ascii="Calibri" w:eastAsia="Times New Roman" w:hAnsi="Calibri" w:cs="Times New Roman"/>
          <w:sz w:val="24"/>
          <w:szCs w:val="24"/>
        </w:rPr>
        <w:t xml:space="preserve">) Enforcement Committee ("Committee")--A </w:t>
      </w:r>
      <w:r>
        <w:rPr>
          <w:rFonts w:ascii="Calibri" w:eastAsia="Times New Roman" w:hAnsi="Calibri" w:cs="Times New Roman"/>
          <w:sz w:val="24"/>
          <w:szCs w:val="24"/>
        </w:rPr>
        <w:t xml:space="preserve">Committee </w:t>
      </w:r>
      <w:r w:rsidRPr="00860C71">
        <w:rPr>
          <w:rFonts w:ascii="Calibri" w:eastAsia="Times New Roman" w:hAnsi="Calibri" w:cs="Times New Roman"/>
          <w:sz w:val="24"/>
          <w:szCs w:val="24"/>
        </w:rPr>
        <w:t xml:space="preserve">of employees of the Department appointed by the Executive Director. The voting members of that Committee shall be no fewer than five and no more than nine. </w:t>
      </w:r>
      <w:r>
        <w:rPr>
          <w:rFonts w:ascii="Calibri" w:eastAsia="Times New Roman" w:hAnsi="Calibri" w:cs="Times New Roman"/>
          <w:sz w:val="24"/>
          <w:szCs w:val="24"/>
        </w:rPr>
        <w:t xml:space="preserve">Additionally, each voting member shall have an alternate member, also appointed by the Executive Director, in the event that the primary voting member is unavailable. The Committee may be composed of any member of </w:t>
      </w:r>
      <w:r w:rsidRPr="0063182F">
        <w:rPr>
          <w:rFonts w:ascii="Calibri" w:eastAsia="Times New Roman" w:hAnsi="Calibri" w:cs="Times New Roman"/>
          <w:sz w:val="24"/>
          <w:szCs w:val="24"/>
        </w:rPr>
        <w:t>any Department division,</w:t>
      </w:r>
      <w:r>
        <w:rPr>
          <w:rFonts w:ascii="Calibri" w:eastAsia="Times New Roman" w:hAnsi="Calibri" w:cs="Times New Roman"/>
          <w:sz w:val="24"/>
          <w:szCs w:val="24"/>
        </w:rPr>
        <w:t xml:space="preserve"> but members from the referring division may not be present during deliberations. Alternate members may serve on behalf of any voting member for purposes of assuring a quorum.  </w:t>
      </w:r>
      <w:r w:rsidRPr="00860C71">
        <w:rPr>
          <w:rFonts w:ascii="Calibri" w:eastAsia="Times New Roman" w:hAnsi="Calibri" w:cs="Times New Roman"/>
          <w:sz w:val="24"/>
          <w:szCs w:val="24"/>
        </w:rPr>
        <w:t>The Legal Division will designate person(s) to attend meetings and advise the Committee</w:t>
      </w:r>
      <w:r>
        <w:rPr>
          <w:rFonts w:ascii="Calibri" w:eastAsia="Times New Roman" w:hAnsi="Calibri" w:cs="Times New Roman"/>
          <w:sz w:val="24"/>
          <w:szCs w:val="24"/>
        </w:rPr>
        <w:t xml:space="preserve">. </w:t>
      </w:r>
      <w:r w:rsidRPr="00860C71">
        <w:rPr>
          <w:rFonts w:ascii="Calibri" w:eastAsia="Times New Roman" w:hAnsi="Calibri" w:cs="Times New Roman"/>
          <w:sz w:val="24"/>
          <w:szCs w:val="24"/>
        </w:rPr>
        <w:t xml:space="preserve">A Legal Division designee will serve as Secretary to the Committee. </w:t>
      </w:r>
    </w:p>
    <w:p w14:paraId="59B5F7B4" w14:textId="636F49BF" w:rsidR="00A0534A" w:rsidRPr="00860C71" w:rsidRDefault="00A0534A" w:rsidP="0027134A">
      <w:pPr>
        <w:pStyle w:val="NoSpacing"/>
        <w:rPr>
          <w:rFonts w:ascii="Calibri" w:hAnsi="Calibri"/>
          <w:sz w:val="24"/>
          <w:szCs w:val="24"/>
        </w:rPr>
      </w:pPr>
      <w:r>
        <w:rPr>
          <w:rFonts w:ascii="Calibri" w:eastAsia="Times New Roman" w:hAnsi="Calibri" w:cs="Times New Roman"/>
          <w:sz w:val="24"/>
          <w:szCs w:val="24"/>
        </w:rPr>
        <w:t>(6) Event of Noncompliance (including the alternate term “Finding of Noncompliance”)</w:t>
      </w:r>
      <w:r w:rsidR="0009076D">
        <w:rPr>
          <w:rFonts w:ascii="Calibri" w:eastAsia="Times New Roman" w:hAnsi="Calibri" w:cs="Times New Roman"/>
          <w:sz w:val="24"/>
          <w:szCs w:val="24"/>
        </w:rPr>
        <w:t>--</w:t>
      </w:r>
      <w:r>
        <w:rPr>
          <w:rFonts w:ascii="Calibri" w:eastAsia="Times New Roman" w:hAnsi="Calibri" w:cs="Times New Roman"/>
          <w:sz w:val="24"/>
          <w:szCs w:val="24"/>
        </w:rPr>
        <w:t>Any event for which a Person may be found to be in noncompliance with Texas Government Code Chapter</w:t>
      </w:r>
      <w:r w:rsidR="003627BD">
        <w:rPr>
          <w:rFonts w:ascii="Calibri" w:eastAsia="Times New Roman" w:hAnsi="Calibri" w:cs="Times New Roman"/>
          <w:sz w:val="24"/>
          <w:szCs w:val="24"/>
        </w:rPr>
        <w:t>s 2105 or</w:t>
      </w:r>
      <w:r>
        <w:rPr>
          <w:rFonts w:ascii="Calibri" w:eastAsia="Times New Roman" w:hAnsi="Calibri" w:cs="Times New Roman"/>
          <w:sz w:val="24"/>
          <w:szCs w:val="24"/>
        </w:rPr>
        <w:t xml:space="preserve"> 2306, any rule adopted thereunder</w:t>
      </w:r>
      <w:r w:rsidR="003627BD">
        <w:rPr>
          <w:rFonts w:ascii="Calibri" w:eastAsia="Times New Roman" w:hAnsi="Calibri" w:cs="Times New Roman"/>
          <w:sz w:val="24"/>
          <w:szCs w:val="24"/>
        </w:rPr>
        <w:t>,</w:t>
      </w:r>
      <w:r>
        <w:rPr>
          <w:rFonts w:ascii="Calibri" w:eastAsia="Times New Roman" w:hAnsi="Calibri" w:cs="Times New Roman"/>
          <w:sz w:val="24"/>
          <w:szCs w:val="24"/>
        </w:rPr>
        <w:t xml:space="preserve"> </w:t>
      </w:r>
      <w:r w:rsidR="00B657AB">
        <w:rPr>
          <w:rFonts w:ascii="Calibri" w:eastAsia="Times New Roman" w:hAnsi="Calibri" w:cs="Times New Roman"/>
          <w:sz w:val="24"/>
          <w:szCs w:val="24"/>
        </w:rPr>
        <w:t xml:space="preserve">any Program Agreement requirement, </w:t>
      </w:r>
      <w:r>
        <w:rPr>
          <w:rFonts w:ascii="Calibri" w:eastAsia="Times New Roman" w:hAnsi="Calibri" w:cs="Times New Roman"/>
          <w:sz w:val="24"/>
          <w:szCs w:val="24"/>
        </w:rPr>
        <w:t xml:space="preserve">or federal program requirements. </w:t>
      </w:r>
    </w:p>
    <w:p w14:paraId="34EC8E31" w14:textId="2075F436" w:rsidR="00A0534A" w:rsidRDefault="00A0534A" w:rsidP="0027134A">
      <w:pPr>
        <w:spacing w:line="240" w:lineRule="auto"/>
        <w:jc w:val="both"/>
        <w:rPr>
          <w:rFonts w:ascii="Calibri" w:eastAsia="Times New Roman" w:hAnsi="Calibri"/>
        </w:rPr>
      </w:pPr>
      <w:r w:rsidRPr="00860C71">
        <w:rPr>
          <w:rFonts w:ascii="Calibri" w:eastAsia="Times New Roman" w:hAnsi="Calibri"/>
        </w:rPr>
        <w:t> (</w:t>
      </w:r>
      <w:r>
        <w:rPr>
          <w:rFonts w:ascii="Calibri" w:eastAsia="Times New Roman" w:hAnsi="Calibri"/>
        </w:rPr>
        <w:t>7</w:t>
      </w:r>
      <w:r w:rsidRPr="00860C71">
        <w:rPr>
          <w:rFonts w:ascii="Calibri" w:eastAsia="Times New Roman" w:hAnsi="Calibri"/>
        </w:rPr>
        <w:t>) Legal Requirements--All requirements</w:t>
      </w:r>
      <w:r>
        <w:rPr>
          <w:rFonts w:ascii="Calibri" w:eastAsia="Times New Roman" w:hAnsi="Calibri"/>
        </w:rPr>
        <w:t xml:space="preserve">, as it relates to the particular Department </w:t>
      </w:r>
      <w:r w:rsidR="003627BD">
        <w:rPr>
          <w:rFonts w:ascii="Calibri" w:eastAsia="Times New Roman" w:hAnsi="Calibri"/>
        </w:rPr>
        <w:t>P</w:t>
      </w:r>
      <w:r>
        <w:rPr>
          <w:rFonts w:ascii="Calibri" w:eastAsia="Times New Roman" w:hAnsi="Calibri"/>
        </w:rPr>
        <w:t xml:space="preserve">rogram, </w:t>
      </w:r>
      <w:r w:rsidRPr="00860C71">
        <w:rPr>
          <w:rFonts w:ascii="Calibri" w:eastAsia="Times New Roman" w:hAnsi="Calibri"/>
        </w:rPr>
        <w:t xml:space="preserve"> of state, federal, or local statute</w:t>
      </w:r>
      <w:r>
        <w:rPr>
          <w:rFonts w:ascii="Calibri" w:eastAsia="Times New Roman" w:hAnsi="Calibri"/>
        </w:rPr>
        <w:t>s</w:t>
      </w:r>
      <w:r w:rsidRPr="00860C71">
        <w:rPr>
          <w:rFonts w:ascii="Calibri" w:eastAsia="Times New Roman" w:hAnsi="Calibri"/>
        </w:rPr>
        <w:t>, rule</w:t>
      </w:r>
      <w:r>
        <w:rPr>
          <w:rFonts w:ascii="Calibri" w:eastAsia="Times New Roman" w:hAnsi="Calibri"/>
        </w:rPr>
        <w:t>s</w:t>
      </w:r>
      <w:r w:rsidRPr="00860C71">
        <w:rPr>
          <w:rFonts w:ascii="Calibri" w:eastAsia="Times New Roman" w:hAnsi="Calibri"/>
        </w:rPr>
        <w:t>, regulation</w:t>
      </w:r>
      <w:r>
        <w:rPr>
          <w:rFonts w:ascii="Calibri" w:eastAsia="Times New Roman" w:hAnsi="Calibri"/>
        </w:rPr>
        <w:t>s</w:t>
      </w:r>
      <w:r w:rsidRPr="00860C71">
        <w:rPr>
          <w:rFonts w:ascii="Calibri" w:eastAsia="Times New Roman" w:hAnsi="Calibri"/>
        </w:rPr>
        <w:t>, ordinance</w:t>
      </w:r>
      <w:r>
        <w:rPr>
          <w:rFonts w:ascii="Calibri" w:eastAsia="Times New Roman" w:hAnsi="Calibri"/>
        </w:rPr>
        <w:t>s</w:t>
      </w:r>
      <w:r w:rsidRPr="00860C71">
        <w:rPr>
          <w:rFonts w:ascii="Calibri" w:eastAsia="Times New Roman" w:hAnsi="Calibri"/>
        </w:rPr>
        <w:t>, order</w:t>
      </w:r>
      <w:r>
        <w:rPr>
          <w:rFonts w:ascii="Calibri" w:eastAsia="Times New Roman" w:hAnsi="Calibri"/>
        </w:rPr>
        <w:t>s</w:t>
      </w:r>
      <w:r w:rsidRPr="00860C71">
        <w:rPr>
          <w:rFonts w:ascii="Calibri" w:eastAsia="Times New Roman" w:hAnsi="Calibri"/>
        </w:rPr>
        <w:t xml:space="preserve">, court </w:t>
      </w:r>
      <w:r>
        <w:rPr>
          <w:rFonts w:ascii="Calibri" w:eastAsia="Times New Roman" w:hAnsi="Calibri"/>
        </w:rPr>
        <w:t>opinions</w:t>
      </w:r>
      <w:r w:rsidRPr="00860C71">
        <w:rPr>
          <w:rFonts w:ascii="Calibri" w:eastAsia="Times New Roman" w:hAnsi="Calibri"/>
        </w:rPr>
        <w:t>, official interpretation</w:t>
      </w:r>
      <w:r>
        <w:rPr>
          <w:rFonts w:ascii="Calibri" w:eastAsia="Times New Roman" w:hAnsi="Calibri"/>
        </w:rPr>
        <w:t>s</w:t>
      </w:r>
      <w:r w:rsidRPr="00860C71">
        <w:rPr>
          <w:rFonts w:ascii="Calibri" w:eastAsia="Times New Roman" w:hAnsi="Calibri"/>
        </w:rPr>
        <w:t>, policy issuance</w:t>
      </w:r>
      <w:r>
        <w:rPr>
          <w:rFonts w:ascii="Calibri" w:eastAsia="Times New Roman" w:hAnsi="Calibri"/>
        </w:rPr>
        <w:t>s</w:t>
      </w:r>
      <w:r w:rsidRPr="00860C71">
        <w:rPr>
          <w:rFonts w:ascii="Calibri" w:eastAsia="Times New Roman" w:hAnsi="Calibri"/>
        </w:rPr>
        <w:t>, OMB Circulars, representations to secure awards, or any similar memorialization of requirement</w:t>
      </w:r>
      <w:r>
        <w:rPr>
          <w:rFonts w:ascii="Calibri" w:eastAsia="Times New Roman" w:hAnsi="Calibri"/>
        </w:rPr>
        <w:t>,</w:t>
      </w:r>
      <w:r w:rsidRPr="00860C71">
        <w:rPr>
          <w:rFonts w:ascii="Calibri" w:eastAsia="Times New Roman" w:hAnsi="Calibri"/>
        </w:rPr>
        <w:t xml:space="preserve"> including </w:t>
      </w:r>
      <w:r>
        <w:rPr>
          <w:rFonts w:ascii="Calibri" w:eastAsia="Times New Roman" w:hAnsi="Calibri"/>
        </w:rPr>
        <w:t xml:space="preserve"> contract </w:t>
      </w:r>
      <w:r w:rsidRPr="00860C71">
        <w:rPr>
          <w:rFonts w:ascii="Calibri" w:eastAsia="Times New Roman" w:hAnsi="Calibri"/>
        </w:rPr>
        <w:t>requirement</w:t>
      </w:r>
      <w:r>
        <w:rPr>
          <w:rFonts w:ascii="Calibri" w:eastAsia="Times New Roman" w:hAnsi="Calibri"/>
        </w:rPr>
        <w:t>s</w:t>
      </w:r>
      <w:r w:rsidRPr="00860C71">
        <w:rPr>
          <w:rFonts w:ascii="Calibri" w:eastAsia="Times New Roman" w:hAnsi="Calibri"/>
        </w:rPr>
        <w:t>.</w:t>
      </w:r>
    </w:p>
    <w:p w14:paraId="7217CF34" w14:textId="26D9ADE0" w:rsidR="00A0534A" w:rsidRDefault="00A0534A" w:rsidP="0027134A">
      <w:pPr>
        <w:spacing w:line="240" w:lineRule="auto"/>
        <w:jc w:val="both"/>
        <w:rPr>
          <w:rFonts w:ascii="Calibri" w:eastAsia="Times New Roman" w:hAnsi="Calibri"/>
        </w:rPr>
      </w:pPr>
      <w:r>
        <w:rPr>
          <w:rFonts w:ascii="Calibri" w:eastAsia="Times New Roman" w:hAnsi="Calibri"/>
        </w:rPr>
        <w:lastRenderedPageBreak/>
        <w:t>(8) Monitoring Event</w:t>
      </w:r>
      <w:r w:rsidR="0027134A">
        <w:rPr>
          <w:rFonts w:ascii="Calibri" w:eastAsia="Times New Roman" w:hAnsi="Calibri"/>
        </w:rPr>
        <w:t>--</w:t>
      </w:r>
      <w:r>
        <w:rPr>
          <w:rFonts w:ascii="Calibri" w:eastAsia="Times New Roman" w:hAnsi="Calibri"/>
        </w:rPr>
        <w:t xml:space="preserve">An onsite or desk monitoring review, a Uniform Physical Condition Standards inspection, the submission of the Annual Owner’s Compliance Report, Final Construction Inspection, a Written Policies and Procedures Review, or any other instance when the Department’s Compliance Division or other reviewing area provides written notice to an Owner or Contact Person requesting a response by a certain date. This would include, but not be limited to, responding to a tenant complaint. </w:t>
      </w:r>
    </w:p>
    <w:p w14:paraId="16750331" w14:textId="07F0219A" w:rsidR="00A0534A" w:rsidRDefault="00A0534A" w:rsidP="0027134A">
      <w:pPr>
        <w:spacing w:line="240" w:lineRule="auto"/>
        <w:jc w:val="both"/>
        <w:rPr>
          <w:rFonts w:ascii="Calibri" w:eastAsia="Times New Roman" w:hAnsi="Calibri"/>
        </w:rPr>
      </w:pPr>
      <w:r>
        <w:rPr>
          <w:rFonts w:ascii="Calibri" w:eastAsia="Times New Roman" w:hAnsi="Calibri"/>
        </w:rPr>
        <w:t>(9) Person</w:t>
      </w:r>
      <w:r w:rsidR="0027134A">
        <w:rPr>
          <w:rFonts w:ascii="Calibri" w:eastAsia="Times New Roman" w:hAnsi="Calibri"/>
        </w:rPr>
        <w:t>--</w:t>
      </w:r>
      <w:r>
        <w:rPr>
          <w:rFonts w:ascii="Calibri" w:eastAsia="Times New Roman" w:hAnsi="Calibri"/>
        </w:rPr>
        <w:t>A legal entity including, without limitation, any natural person, corporation, partnership, limited partnership, joint venture, limited liability corporation, trust, estate, association, cooperative, government, political subdivision, agency or instrumentality or other organization or entity of any nature whatsoever, and shall include any group of Persons acting in concert toward a common goal, including individual members of the group.</w:t>
      </w:r>
    </w:p>
    <w:p w14:paraId="220827AC" w14:textId="2245BF67" w:rsidR="00A0534A" w:rsidRPr="00860C71" w:rsidRDefault="00A0534A" w:rsidP="0027134A">
      <w:pPr>
        <w:spacing w:line="240" w:lineRule="auto"/>
        <w:jc w:val="both"/>
        <w:rPr>
          <w:rFonts w:ascii="Calibri" w:eastAsia="Times New Roman" w:hAnsi="Calibri"/>
        </w:rPr>
      </w:pPr>
      <w:r>
        <w:rPr>
          <w:rFonts w:ascii="Calibri" w:eastAsia="Times New Roman" w:hAnsi="Calibri"/>
        </w:rPr>
        <w:t>(10) Program</w:t>
      </w:r>
      <w:r w:rsidR="0027134A">
        <w:rPr>
          <w:rFonts w:ascii="Calibri" w:eastAsia="Times New Roman" w:hAnsi="Calibri"/>
        </w:rPr>
        <w:t>--</w:t>
      </w:r>
      <w:r>
        <w:rPr>
          <w:rFonts w:ascii="Calibri" w:eastAsia="Times New Roman" w:hAnsi="Calibri"/>
        </w:rPr>
        <w:t xml:space="preserve">Includes any activity performed by a </w:t>
      </w:r>
      <w:proofErr w:type="spellStart"/>
      <w:r>
        <w:rPr>
          <w:rFonts w:ascii="Calibri" w:eastAsia="Times New Roman" w:hAnsi="Calibri"/>
        </w:rPr>
        <w:t>Subrecipient</w:t>
      </w:r>
      <w:proofErr w:type="spellEnd"/>
      <w:r>
        <w:rPr>
          <w:rFonts w:ascii="Calibri" w:eastAsia="Times New Roman" w:hAnsi="Calibri"/>
        </w:rPr>
        <w:t xml:space="preserve">, Administrator, Contractor, Development Owner, or other Person under a Program Agreement or activities performed by a third party under a Program Agreement, including but not limited to a </w:t>
      </w:r>
      <w:proofErr w:type="spellStart"/>
      <w:r>
        <w:rPr>
          <w:rFonts w:ascii="Calibri" w:eastAsia="Times New Roman" w:hAnsi="Calibri"/>
        </w:rPr>
        <w:t>Subgrantee</w:t>
      </w:r>
      <w:proofErr w:type="spellEnd"/>
      <w:r>
        <w:rPr>
          <w:rFonts w:ascii="Calibri" w:eastAsia="Times New Roman" w:hAnsi="Calibri"/>
        </w:rPr>
        <w:t xml:space="preserve"> or Subcontractor. </w:t>
      </w:r>
    </w:p>
    <w:p w14:paraId="2DE6C628" w14:textId="68CC9D92" w:rsidR="00A0534A" w:rsidRPr="00860C71" w:rsidRDefault="00A0534A" w:rsidP="0027134A">
      <w:pPr>
        <w:spacing w:line="240" w:lineRule="auto"/>
        <w:jc w:val="both"/>
        <w:rPr>
          <w:rFonts w:ascii="Calibri" w:eastAsia="Times New Roman" w:hAnsi="Calibri"/>
        </w:rPr>
      </w:pPr>
      <w:r w:rsidRPr="00860C71">
        <w:rPr>
          <w:rFonts w:ascii="Calibri" w:eastAsia="Times New Roman" w:hAnsi="Calibri"/>
        </w:rPr>
        <w:t> (</w:t>
      </w:r>
      <w:r>
        <w:rPr>
          <w:rFonts w:ascii="Calibri" w:eastAsia="Times New Roman" w:hAnsi="Calibri"/>
        </w:rPr>
        <w:t>11</w:t>
      </w:r>
      <w:r w:rsidRPr="00860C71">
        <w:rPr>
          <w:rFonts w:ascii="Calibri" w:eastAsia="Times New Roman" w:hAnsi="Calibri"/>
        </w:rPr>
        <w:t>) Program Agreements include:</w:t>
      </w:r>
    </w:p>
    <w:p w14:paraId="094CA9C0" w14:textId="0CC5CB00" w:rsidR="00A0534A" w:rsidRPr="00860C71" w:rsidRDefault="00A0534A" w:rsidP="0027134A">
      <w:pPr>
        <w:spacing w:line="240" w:lineRule="auto"/>
        <w:jc w:val="both"/>
        <w:rPr>
          <w:rFonts w:ascii="Calibri" w:eastAsia="Times New Roman" w:hAnsi="Calibri"/>
        </w:rPr>
      </w:pPr>
      <w:r w:rsidRPr="00860C71">
        <w:rPr>
          <w:rFonts w:ascii="Calibri" w:eastAsia="Times New Roman" w:hAnsi="Calibri"/>
        </w:rPr>
        <w:t xml:space="preserve">    (A) </w:t>
      </w:r>
      <w:proofErr w:type="gramStart"/>
      <w:r w:rsidRPr="00860C71">
        <w:rPr>
          <w:rFonts w:ascii="Calibri" w:eastAsia="Times New Roman" w:hAnsi="Calibri"/>
        </w:rPr>
        <w:t>agreements</w:t>
      </w:r>
      <w:proofErr w:type="gramEnd"/>
      <w:r w:rsidRPr="00860C71">
        <w:rPr>
          <w:rFonts w:ascii="Calibri" w:eastAsia="Times New Roman" w:hAnsi="Calibri"/>
        </w:rPr>
        <w:t xml:space="preserve"> between the Department and a </w:t>
      </w:r>
      <w:r>
        <w:rPr>
          <w:rFonts w:ascii="Calibri" w:eastAsia="Times New Roman" w:hAnsi="Calibri"/>
        </w:rPr>
        <w:t xml:space="preserve">Person </w:t>
      </w:r>
      <w:r w:rsidRPr="00860C71">
        <w:rPr>
          <w:rFonts w:ascii="Calibri" w:eastAsia="Times New Roman" w:hAnsi="Calibri"/>
        </w:rPr>
        <w:t>setting forth Legal Requirements; and</w:t>
      </w:r>
    </w:p>
    <w:p w14:paraId="5D18ED96" w14:textId="19E8AC72" w:rsidR="00A0534A" w:rsidRPr="00860C71" w:rsidRDefault="00A0534A" w:rsidP="0027134A">
      <w:pPr>
        <w:spacing w:line="240" w:lineRule="auto"/>
        <w:jc w:val="both"/>
        <w:rPr>
          <w:rFonts w:ascii="Calibri" w:eastAsia="Times New Roman" w:hAnsi="Calibri"/>
        </w:rPr>
      </w:pPr>
      <w:r w:rsidRPr="00860C71">
        <w:rPr>
          <w:rFonts w:ascii="Calibri" w:eastAsia="Times New Roman" w:hAnsi="Calibri"/>
        </w:rPr>
        <w:t xml:space="preserve">    (B) </w:t>
      </w:r>
      <w:proofErr w:type="gramStart"/>
      <w:r w:rsidRPr="00860C71">
        <w:rPr>
          <w:rFonts w:ascii="Calibri" w:eastAsia="Times New Roman" w:hAnsi="Calibri"/>
        </w:rPr>
        <w:t>agreements</w:t>
      </w:r>
      <w:proofErr w:type="gramEnd"/>
      <w:r w:rsidRPr="00860C71">
        <w:rPr>
          <w:rFonts w:ascii="Calibri" w:eastAsia="Times New Roman" w:hAnsi="Calibri"/>
        </w:rPr>
        <w:t xml:space="preserve"> between a </w:t>
      </w:r>
      <w:r>
        <w:rPr>
          <w:rFonts w:ascii="Calibri" w:eastAsia="Times New Roman" w:hAnsi="Calibri"/>
        </w:rPr>
        <w:t xml:space="preserve">Person </w:t>
      </w:r>
      <w:r w:rsidRPr="00860C71">
        <w:rPr>
          <w:rFonts w:ascii="Calibri" w:eastAsia="Times New Roman" w:hAnsi="Calibri"/>
        </w:rPr>
        <w:t>subject to a Program Agreement and a third party to carry out one or more Legal Requirements</w:t>
      </w:r>
      <w:r>
        <w:rPr>
          <w:rFonts w:ascii="Calibri" w:eastAsia="Times New Roman" w:hAnsi="Calibri"/>
        </w:rPr>
        <w:t>.</w:t>
      </w:r>
      <w:r w:rsidRPr="00860C71">
        <w:rPr>
          <w:rFonts w:ascii="Calibri" w:eastAsia="Times New Roman" w:hAnsi="Calibri"/>
        </w:rPr>
        <w:t xml:space="preserve"> </w:t>
      </w:r>
    </w:p>
    <w:p w14:paraId="205F6E3C" w14:textId="0E2C5C6C" w:rsidR="00A0534A" w:rsidRPr="00860C71" w:rsidRDefault="00A0534A" w:rsidP="0027134A">
      <w:pPr>
        <w:spacing w:line="240" w:lineRule="auto"/>
        <w:jc w:val="both"/>
        <w:rPr>
          <w:rFonts w:ascii="Calibri" w:eastAsia="Times New Roman" w:hAnsi="Calibri"/>
        </w:rPr>
      </w:pPr>
      <w:r w:rsidRPr="00860C71">
        <w:rPr>
          <w:rFonts w:ascii="Calibri" w:eastAsia="Times New Roman" w:hAnsi="Calibri"/>
        </w:rPr>
        <w:t> (</w:t>
      </w:r>
      <w:r>
        <w:rPr>
          <w:rFonts w:ascii="Calibri" w:eastAsia="Times New Roman" w:hAnsi="Calibri"/>
        </w:rPr>
        <w:t>12</w:t>
      </w:r>
      <w:r w:rsidRPr="00860C71">
        <w:rPr>
          <w:rFonts w:ascii="Calibri" w:eastAsia="Times New Roman" w:hAnsi="Calibri"/>
        </w:rPr>
        <w:t>) Responsible Party--Any Person subject to a Program Agreement.</w:t>
      </w:r>
    </w:p>
    <w:p w14:paraId="0814A601" w14:textId="56E247E4" w:rsidR="00A0534A" w:rsidRDefault="00A0534A" w:rsidP="0027134A">
      <w:pPr>
        <w:spacing w:line="240" w:lineRule="auto"/>
        <w:jc w:val="both"/>
        <w:rPr>
          <w:rFonts w:ascii="Calibri" w:eastAsia="Times New Roman" w:hAnsi="Calibri"/>
        </w:rPr>
      </w:pPr>
      <w:r w:rsidRPr="00860C71">
        <w:rPr>
          <w:rFonts w:ascii="Calibri" w:eastAsia="Times New Roman" w:hAnsi="Calibri"/>
        </w:rPr>
        <w:t> (</w:t>
      </w:r>
      <w:r>
        <w:rPr>
          <w:rFonts w:ascii="Calibri" w:eastAsia="Times New Roman" w:hAnsi="Calibri"/>
        </w:rPr>
        <w:t>13</w:t>
      </w:r>
      <w:r w:rsidRPr="00860C71">
        <w:rPr>
          <w:rFonts w:ascii="Calibri" w:eastAsia="Times New Roman" w:hAnsi="Calibri"/>
        </w:rPr>
        <w:t xml:space="preserve">) Vendor--A person who is procured by a </w:t>
      </w:r>
      <w:proofErr w:type="spellStart"/>
      <w:r w:rsidRPr="00860C71">
        <w:rPr>
          <w:rFonts w:ascii="Calibri" w:eastAsia="Times New Roman" w:hAnsi="Calibri"/>
        </w:rPr>
        <w:t>subrecipient</w:t>
      </w:r>
      <w:proofErr w:type="spellEnd"/>
      <w:r w:rsidRPr="00860C71">
        <w:rPr>
          <w:rFonts w:ascii="Calibri" w:eastAsia="Times New Roman" w:hAnsi="Calibri"/>
        </w:rPr>
        <w:t xml:space="preserve"> to provide goods or services in any way relating to a Department program or activity.</w:t>
      </w:r>
    </w:p>
    <w:p w14:paraId="2D2E25C3" w14:textId="77777777" w:rsidR="006E2416" w:rsidRDefault="006E2416" w:rsidP="0027134A">
      <w:pPr>
        <w:spacing w:line="240" w:lineRule="auto"/>
        <w:jc w:val="both"/>
        <w:rPr>
          <w:rFonts w:ascii="Calibri" w:eastAsia="Times New Roman" w:hAnsi="Calibri"/>
        </w:rPr>
      </w:pPr>
    </w:p>
    <w:p w14:paraId="1B311C4D" w14:textId="56F75FA6" w:rsidR="00A0534A" w:rsidRDefault="00A0534A" w:rsidP="0027134A">
      <w:pPr>
        <w:spacing w:line="240" w:lineRule="auto"/>
        <w:jc w:val="both"/>
        <w:rPr>
          <w:rFonts w:ascii="Calibri" w:eastAsia="Times New Roman" w:hAnsi="Calibri"/>
        </w:rPr>
      </w:pPr>
      <w:r>
        <w:rPr>
          <w:rFonts w:ascii="Calibri" w:eastAsia="Times New Roman" w:hAnsi="Calibri"/>
        </w:rPr>
        <w:t>§2.103 General</w:t>
      </w:r>
    </w:p>
    <w:p w14:paraId="6B1D43CF" w14:textId="77777777" w:rsidR="00F97BCC" w:rsidRDefault="00F97BCC" w:rsidP="0027134A">
      <w:pPr>
        <w:spacing w:line="240" w:lineRule="auto"/>
        <w:jc w:val="both"/>
        <w:rPr>
          <w:rFonts w:ascii="Calibri" w:eastAsia="Times New Roman" w:hAnsi="Calibri"/>
        </w:rPr>
      </w:pPr>
    </w:p>
    <w:p w14:paraId="461788B2" w14:textId="77777777" w:rsidR="00A0534A" w:rsidRPr="005A47B9" w:rsidRDefault="00A0534A" w:rsidP="0027134A">
      <w:pPr>
        <w:spacing w:line="240" w:lineRule="auto"/>
        <w:jc w:val="both"/>
        <w:rPr>
          <w:rFonts w:ascii="Calibri" w:eastAsia="Times New Roman" w:hAnsi="Calibri"/>
        </w:rPr>
      </w:pPr>
      <w:r w:rsidRPr="005A47B9">
        <w:rPr>
          <w:rFonts w:ascii="Calibri" w:eastAsia="Times New Roman" w:hAnsi="Calibri"/>
        </w:rPr>
        <w:t>(a) A Responsible Party must comply with all applicable Legal Requirements.</w:t>
      </w:r>
    </w:p>
    <w:p w14:paraId="0FE3DC86" w14:textId="366313B9" w:rsidR="00A0534A" w:rsidRPr="005A47B9" w:rsidRDefault="00A0534A" w:rsidP="0027134A">
      <w:pPr>
        <w:spacing w:line="240" w:lineRule="auto"/>
        <w:jc w:val="both"/>
        <w:rPr>
          <w:rFonts w:ascii="Calibri" w:eastAsia="Times New Roman" w:hAnsi="Calibri"/>
        </w:rPr>
      </w:pPr>
      <w:r w:rsidRPr="005A47B9">
        <w:rPr>
          <w:rFonts w:ascii="Calibri" w:eastAsia="Times New Roman" w:hAnsi="Calibri"/>
        </w:rPr>
        <w:t>(b) A failure by the Department to identify, address, or take action with respect to any one or more</w:t>
      </w:r>
      <w:r>
        <w:rPr>
          <w:rFonts w:ascii="Calibri" w:eastAsia="Times New Roman" w:hAnsi="Calibri"/>
        </w:rPr>
        <w:t xml:space="preserve"> Events of Noncompliance</w:t>
      </w:r>
      <w:r w:rsidRPr="005A47B9">
        <w:rPr>
          <w:rFonts w:ascii="Calibri" w:eastAsia="Times New Roman" w:hAnsi="Calibri"/>
        </w:rPr>
        <w:t xml:space="preserve"> does not constitute a waiver, ratification, or approval of, consent to, or agreement with such noncompliance. It is the responsibility of a Responsible Party to be familiar with the applicable </w:t>
      </w:r>
      <w:r>
        <w:rPr>
          <w:rFonts w:ascii="Calibri" w:eastAsia="Times New Roman" w:hAnsi="Calibri"/>
        </w:rPr>
        <w:t>Legal Requirements</w:t>
      </w:r>
      <w:r w:rsidRPr="005A47B9">
        <w:rPr>
          <w:rFonts w:ascii="Calibri" w:eastAsia="Times New Roman" w:hAnsi="Calibri"/>
        </w:rPr>
        <w:t>.</w:t>
      </w:r>
    </w:p>
    <w:p w14:paraId="338FBB93" w14:textId="340E49F8" w:rsidR="00A0534A" w:rsidRPr="005A47B9" w:rsidRDefault="00A0534A" w:rsidP="0027134A">
      <w:pPr>
        <w:spacing w:line="240" w:lineRule="auto"/>
        <w:jc w:val="both"/>
        <w:rPr>
          <w:rFonts w:ascii="Calibri" w:eastAsia="Times New Roman" w:hAnsi="Calibri"/>
        </w:rPr>
      </w:pPr>
      <w:r w:rsidRPr="005A47B9">
        <w:rPr>
          <w:rFonts w:ascii="Calibri" w:eastAsia="Times New Roman" w:hAnsi="Calibri"/>
        </w:rPr>
        <w:t xml:space="preserve">(c) Recordkeeping. </w:t>
      </w:r>
      <w:r>
        <w:rPr>
          <w:rFonts w:ascii="Calibri" w:eastAsia="Times New Roman" w:hAnsi="Calibri"/>
        </w:rPr>
        <w:t xml:space="preserve">Each referring division </w:t>
      </w:r>
      <w:r w:rsidRPr="005A47B9">
        <w:rPr>
          <w:rFonts w:ascii="Calibri" w:eastAsia="Times New Roman" w:hAnsi="Calibri"/>
        </w:rPr>
        <w:t xml:space="preserve">will keep records in accordance with the Department's record retention schedule and any other state or Federal requirements of all </w:t>
      </w:r>
      <w:r>
        <w:rPr>
          <w:rFonts w:ascii="Calibri" w:eastAsia="Times New Roman" w:hAnsi="Calibri"/>
        </w:rPr>
        <w:t xml:space="preserve">Events of Noncompliance. </w:t>
      </w:r>
    </w:p>
    <w:p w14:paraId="2C1BC767" w14:textId="6A68CB6F" w:rsidR="00A0534A" w:rsidRDefault="00A0534A" w:rsidP="0027134A">
      <w:pPr>
        <w:spacing w:line="240" w:lineRule="auto"/>
        <w:jc w:val="both"/>
        <w:rPr>
          <w:rFonts w:ascii="Calibri" w:eastAsia="Times New Roman" w:hAnsi="Calibri"/>
        </w:rPr>
      </w:pPr>
      <w:r w:rsidRPr="005A47B9">
        <w:rPr>
          <w:rFonts w:ascii="Calibri" w:eastAsia="Times New Roman" w:hAnsi="Calibri"/>
        </w:rPr>
        <w:t xml:space="preserve">(d) As provided for in Texas Government Code, §2306.6719, parties subject to certain compliance requirements must be afforded written notice and a reasonable period to correct identified </w:t>
      </w:r>
      <w:r>
        <w:rPr>
          <w:rFonts w:ascii="Calibri" w:eastAsia="Times New Roman" w:hAnsi="Calibri"/>
        </w:rPr>
        <w:t xml:space="preserve">Events of Noncompliance </w:t>
      </w:r>
      <w:r w:rsidRPr="005A47B9">
        <w:rPr>
          <w:rFonts w:ascii="Calibri" w:eastAsia="Times New Roman" w:hAnsi="Calibri"/>
        </w:rPr>
        <w:t xml:space="preserve">that are susceptible to being corrected. It is the responsibility of each division to provide any required cure, </w:t>
      </w:r>
      <w:r w:rsidR="007042A3">
        <w:rPr>
          <w:rFonts w:ascii="Calibri" w:eastAsia="Times New Roman" w:hAnsi="Calibri"/>
        </w:rPr>
        <w:t>C</w:t>
      </w:r>
      <w:r w:rsidRPr="005A47B9">
        <w:rPr>
          <w:rFonts w:ascii="Calibri" w:eastAsia="Times New Roman" w:hAnsi="Calibri"/>
        </w:rPr>
        <w:t xml:space="preserve">orrective </w:t>
      </w:r>
      <w:r w:rsidR="007042A3">
        <w:rPr>
          <w:rFonts w:ascii="Calibri" w:eastAsia="Times New Roman" w:hAnsi="Calibri"/>
        </w:rPr>
        <w:t>A</w:t>
      </w:r>
      <w:r w:rsidRPr="005A47B9">
        <w:rPr>
          <w:rFonts w:ascii="Calibri" w:eastAsia="Times New Roman" w:hAnsi="Calibri"/>
        </w:rPr>
        <w:t xml:space="preserve">ction, or notice period(s) prior to referral of any matter to the Committee under this chapter. Matters should not be referred to the Committee until such cure, </w:t>
      </w:r>
      <w:r w:rsidR="007042A3">
        <w:rPr>
          <w:rFonts w:ascii="Calibri" w:eastAsia="Times New Roman" w:hAnsi="Calibri"/>
        </w:rPr>
        <w:t>C</w:t>
      </w:r>
      <w:r w:rsidRPr="005A47B9">
        <w:rPr>
          <w:rFonts w:ascii="Calibri" w:eastAsia="Times New Roman" w:hAnsi="Calibri"/>
        </w:rPr>
        <w:t xml:space="preserve">orrective </w:t>
      </w:r>
      <w:r w:rsidR="007042A3">
        <w:rPr>
          <w:rFonts w:ascii="Calibri" w:eastAsia="Times New Roman" w:hAnsi="Calibri"/>
        </w:rPr>
        <w:t>A</w:t>
      </w:r>
      <w:r w:rsidRPr="005A47B9">
        <w:rPr>
          <w:rFonts w:ascii="Calibri" w:eastAsia="Times New Roman" w:hAnsi="Calibri"/>
        </w:rPr>
        <w:t>ction, or notice periods have been completed or expired.</w:t>
      </w:r>
    </w:p>
    <w:p w14:paraId="40BD7B75" w14:textId="35D5DABB" w:rsidR="00A0534A" w:rsidRDefault="00A0534A" w:rsidP="0027134A">
      <w:pPr>
        <w:spacing w:line="240" w:lineRule="auto"/>
        <w:jc w:val="both"/>
        <w:rPr>
          <w:rFonts w:ascii="Calibri" w:eastAsia="Times New Roman" w:hAnsi="Calibri"/>
        </w:rPr>
      </w:pPr>
      <w:r>
        <w:rPr>
          <w:rFonts w:ascii="Calibri" w:eastAsia="Times New Roman" w:hAnsi="Calibri"/>
        </w:rPr>
        <w:t xml:space="preserve">(e) For each Event of Noncompliance, the Department will evaluate </w:t>
      </w:r>
      <w:r w:rsidR="003C5D72">
        <w:rPr>
          <w:rFonts w:ascii="Calibri" w:eastAsia="Times New Roman" w:hAnsi="Calibri"/>
        </w:rPr>
        <w:t>which Person or Persons</w:t>
      </w:r>
      <w:r>
        <w:rPr>
          <w:rFonts w:ascii="Calibri" w:eastAsia="Times New Roman" w:hAnsi="Calibri"/>
        </w:rPr>
        <w:t xml:space="preserve"> </w:t>
      </w:r>
      <w:r w:rsidR="00694867">
        <w:rPr>
          <w:rFonts w:ascii="Calibri" w:eastAsia="Times New Roman" w:hAnsi="Calibri"/>
        </w:rPr>
        <w:t>had Control of</w:t>
      </w:r>
      <w:r>
        <w:rPr>
          <w:rFonts w:ascii="Calibri" w:eastAsia="Times New Roman" w:hAnsi="Calibri"/>
        </w:rPr>
        <w:t xml:space="preserve"> the Development</w:t>
      </w:r>
      <w:r w:rsidR="00B657AB">
        <w:rPr>
          <w:rFonts w:ascii="Calibri" w:eastAsia="Times New Roman" w:hAnsi="Calibri"/>
        </w:rPr>
        <w:t>, Program, or activity</w:t>
      </w:r>
      <w:r>
        <w:rPr>
          <w:rFonts w:ascii="Calibri" w:eastAsia="Times New Roman" w:hAnsi="Calibri"/>
        </w:rPr>
        <w:t xml:space="preserve"> at the time the Event of Noncompliance occurred. A Person will not be referred for Debarment or assessed a Administrative Penalty because they have </w:t>
      </w:r>
      <w:r w:rsidR="00694867">
        <w:rPr>
          <w:rFonts w:ascii="Calibri" w:eastAsia="Times New Roman" w:hAnsi="Calibri"/>
        </w:rPr>
        <w:t xml:space="preserve">newly </w:t>
      </w:r>
      <w:r>
        <w:rPr>
          <w:rFonts w:ascii="Calibri" w:eastAsia="Times New Roman" w:hAnsi="Calibri"/>
        </w:rPr>
        <w:t>acquired a Development that has existing Events of Noncompliance, provided that the findings are resolved by transferee within a reasonable timeframe after purchase, in accordance with a plan that is approved by the Department in an ownership transfer request under §10.406 of this title (relating to Ownership transfers).</w:t>
      </w:r>
    </w:p>
    <w:p w14:paraId="05B5A351" w14:textId="77777777" w:rsidR="006E2416" w:rsidRDefault="006E2416" w:rsidP="0027134A">
      <w:pPr>
        <w:spacing w:line="240" w:lineRule="auto"/>
        <w:jc w:val="both"/>
        <w:rPr>
          <w:rFonts w:ascii="Calibri" w:eastAsia="Times New Roman" w:hAnsi="Calibri"/>
        </w:rPr>
      </w:pPr>
    </w:p>
    <w:p w14:paraId="40360475" w14:textId="1AD4426C" w:rsidR="00A0534A" w:rsidRDefault="00A0534A" w:rsidP="0027134A">
      <w:pPr>
        <w:spacing w:line="240" w:lineRule="auto"/>
        <w:jc w:val="both"/>
        <w:rPr>
          <w:rFonts w:ascii="Calibri" w:eastAsia="Times New Roman" w:hAnsi="Calibri"/>
        </w:rPr>
      </w:pPr>
      <w:r>
        <w:rPr>
          <w:rFonts w:ascii="Calibri" w:eastAsia="Times New Roman" w:hAnsi="Calibri"/>
        </w:rPr>
        <w:t>§2.104 Enforcement Mechanisms</w:t>
      </w:r>
    </w:p>
    <w:p w14:paraId="5C04E9D2" w14:textId="77777777" w:rsidR="00F97BCC" w:rsidRDefault="00F97BCC" w:rsidP="0027134A">
      <w:pPr>
        <w:spacing w:line="240" w:lineRule="auto"/>
        <w:jc w:val="both"/>
        <w:rPr>
          <w:rFonts w:ascii="Calibri" w:eastAsia="Times New Roman" w:hAnsi="Calibri"/>
        </w:rPr>
      </w:pPr>
    </w:p>
    <w:p w14:paraId="7355C4E2" w14:textId="0368636B" w:rsidR="00A0534A" w:rsidRDefault="00A0534A" w:rsidP="0027134A">
      <w:pPr>
        <w:spacing w:line="240" w:lineRule="auto"/>
        <w:jc w:val="both"/>
        <w:rPr>
          <w:rFonts w:ascii="Calibri" w:eastAsia="Times New Roman" w:hAnsi="Calibri"/>
        </w:rPr>
      </w:pPr>
      <w:r>
        <w:rPr>
          <w:rFonts w:ascii="Calibri" w:eastAsia="Times New Roman" w:hAnsi="Calibri"/>
        </w:rPr>
        <w:lastRenderedPageBreak/>
        <w:t xml:space="preserve">(a) The enforcement mechanisms referenced in this chapter are not the exclusive mechanisms whereby compliance </w:t>
      </w:r>
      <w:proofErr w:type="gramStart"/>
      <w:r>
        <w:rPr>
          <w:rFonts w:ascii="Calibri" w:eastAsia="Times New Roman" w:hAnsi="Calibri"/>
        </w:rPr>
        <w:t>may be obtained</w:t>
      </w:r>
      <w:proofErr w:type="gramEnd"/>
      <w:r>
        <w:rPr>
          <w:rFonts w:ascii="Calibri" w:eastAsia="Times New Roman" w:hAnsi="Calibri"/>
        </w:rPr>
        <w:t xml:space="preserve"> in any particular circumstance. Enforcement mechanisms related to Department programs may include, where applicable, those required or employed by other entities or agencies. With regard to the low-income housing tax credit program, if an identified Event of Noncompliance is required to be reported to the Internal Revenue Service, (IRS) it will be reported by the Compliance Division on form 8823.</w:t>
      </w:r>
      <w:r w:rsidR="00622B8E">
        <w:rPr>
          <w:rFonts w:ascii="Calibri" w:eastAsia="Times New Roman" w:hAnsi="Calibri"/>
        </w:rPr>
        <w:t xml:space="preserve">  For federally funded Programs or activities the Department may recommend that a federal funding agency initiate a debarment proceeding under 2 CFR Part 180 or 2 CFR 2424, as applicable. </w:t>
      </w:r>
      <w:r>
        <w:rPr>
          <w:rFonts w:ascii="Calibri" w:eastAsia="Times New Roman" w:hAnsi="Calibri"/>
        </w:rPr>
        <w:t xml:space="preserve">Program Agreements may also include additional enforcement mechanisms, federal reporting, or penalties. </w:t>
      </w:r>
    </w:p>
    <w:p w14:paraId="3C6EFDC6" w14:textId="77777777" w:rsidR="00A0534A" w:rsidRDefault="00A0534A" w:rsidP="0027134A">
      <w:pPr>
        <w:spacing w:line="240" w:lineRule="auto"/>
        <w:jc w:val="both"/>
        <w:rPr>
          <w:rFonts w:ascii="Calibri" w:eastAsia="Times New Roman" w:hAnsi="Calibri"/>
        </w:rPr>
      </w:pPr>
      <w:r>
        <w:rPr>
          <w:rFonts w:ascii="Calibri" w:eastAsia="Times New Roman" w:hAnsi="Calibri"/>
        </w:rPr>
        <w:t>(b) Enforcement mechanisms available to the Department include but are not limited to:</w:t>
      </w:r>
    </w:p>
    <w:p w14:paraId="090A6F86" w14:textId="70E82DA0" w:rsidR="00A0534A" w:rsidRDefault="00A0534A" w:rsidP="0027134A">
      <w:pPr>
        <w:spacing w:line="240" w:lineRule="auto"/>
        <w:jc w:val="both"/>
        <w:rPr>
          <w:rFonts w:ascii="Calibri" w:eastAsia="Times New Roman" w:hAnsi="Calibri"/>
        </w:rPr>
      </w:pPr>
      <w:r>
        <w:rPr>
          <w:rFonts w:ascii="Calibri" w:eastAsia="Times New Roman" w:hAnsi="Calibri"/>
        </w:rPr>
        <w:t>(1) Enforcement of contractual provisions in the Program Agreements including</w:t>
      </w:r>
      <w:r w:rsidR="003C5D72">
        <w:rPr>
          <w:rFonts w:ascii="Calibri" w:eastAsia="Times New Roman" w:hAnsi="Calibri"/>
        </w:rPr>
        <w:t>,</w:t>
      </w:r>
      <w:r>
        <w:rPr>
          <w:rFonts w:ascii="Calibri" w:eastAsia="Times New Roman" w:hAnsi="Calibri"/>
        </w:rPr>
        <w:t xml:space="preserve"> but not limited to, options to place a Development into receivership, and rights of suspension or termination, and placement on a cost reimbursement status as described in Subchapter B of this chapter (relating to Enforcement for Noncompliance with Program Requirements of Chapters 6 and 7); </w:t>
      </w:r>
    </w:p>
    <w:p w14:paraId="70650BF1" w14:textId="162B5009" w:rsidR="00A0534A" w:rsidRDefault="00A0534A" w:rsidP="0027134A">
      <w:pPr>
        <w:spacing w:line="240" w:lineRule="auto"/>
        <w:jc w:val="both"/>
        <w:rPr>
          <w:rFonts w:ascii="Calibri" w:eastAsia="Times New Roman" w:hAnsi="Calibri"/>
        </w:rPr>
      </w:pPr>
      <w:r>
        <w:rPr>
          <w:rFonts w:ascii="Calibri" w:eastAsia="Times New Roman" w:hAnsi="Calibri"/>
        </w:rPr>
        <w:t>(2) Consideration of a reasonable plan for correction, warning letter, informal conference, and assessment of administrative penalties, as further described in Subchapter C of this chapter (related to Administrative Penalties); or</w:t>
      </w:r>
    </w:p>
    <w:p w14:paraId="6F881974" w14:textId="77777777" w:rsidR="00A0534A" w:rsidRPr="005A47B9" w:rsidRDefault="00A0534A" w:rsidP="0027134A">
      <w:pPr>
        <w:spacing w:line="240" w:lineRule="auto"/>
        <w:jc w:val="both"/>
        <w:rPr>
          <w:rFonts w:ascii="Calibri" w:eastAsia="Times New Roman" w:hAnsi="Calibri"/>
        </w:rPr>
      </w:pPr>
      <w:r>
        <w:rPr>
          <w:rFonts w:ascii="Calibri" w:eastAsia="Times New Roman" w:hAnsi="Calibri"/>
        </w:rPr>
        <w:t>(3) Debarment, as described in Subchapter D of this chapter (relating to Debarment).</w:t>
      </w:r>
    </w:p>
    <w:p w14:paraId="0497046D" w14:textId="4910B277" w:rsidR="004877B8" w:rsidRDefault="004877B8" w:rsidP="0027134A">
      <w:pPr>
        <w:autoSpaceDE w:val="0"/>
        <w:autoSpaceDN w:val="0"/>
        <w:adjustRightInd w:val="0"/>
        <w:spacing w:line="240" w:lineRule="auto"/>
        <w:jc w:val="both"/>
        <w:rPr>
          <w:rFonts w:asciiTheme="minorHAnsi" w:hAnsiTheme="minorHAnsi"/>
          <w:bCs/>
        </w:rPr>
      </w:pPr>
    </w:p>
    <w:p w14:paraId="63F76523" w14:textId="77777777" w:rsidR="00472FFB" w:rsidRDefault="00A0534A" w:rsidP="0027134A">
      <w:pPr>
        <w:spacing w:line="240" w:lineRule="auto"/>
        <w:rPr>
          <w:rFonts w:asciiTheme="minorHAnsi" w:hAnsiTheme="minorHAnsi"/>
          <w:b/>
        </w:rPr>
      </w:pPr>
      <w:r w:rsidRPr="006E2416">
        <w:rPr>
          <w:rFonts w:asciiTheme="minorHAnsi" w:hAnsiTheme="minorHAnsi"/>
          <w:b/>
        </w:rPr>
        <w:t>Subchapter C</w:t>
      </w:r>
      <w:r w:rsidRPr="006E2416">
        <w:rPr>
          <w:rFonts w:asciiTheme="minorHAnsi" w:hAnsiTheme="minorHAnsi"/>
          <w:b/>
        </w:rPr>
        <w:tab/>
        <w:t>Administrative Penalties</w:t>
      </w:r>
      <w:r w:rsidR="00472FFB">
        <w:rPr>
          <w:rFonts w:asciiTheme="minorHAnsi" w:hAnsiTheme="minorHAnsi"/>
          <w:b/>
        </w:rPr>
        <w:t xml:space="preserve"> </w:t>
      </w:r>
    </w:p>
    <w:p w14:paraId="16FA4580" w14:textId="77777777" w:rsidR="00472FFB" w:rsidRDefault="00472FFB" w:rsidP="0027134A">
      <w:pPr>
        <w:spacing w:line="240" w:lineRule="auto"/>
        <w:rPr>
          <w:rFonts w:asciiTheme="minorHAnsi" w:hAnsiTheme="minorHAnsi"/>
          <w:b/>
        </w:rPr>
      </w:pPr>
    </w:p>
    <w:p w14:paraId="25F6B050" w14:textId="29D20C55" w:rsidR="00A0534A" w:rsidRDefault="00A0534A" w:rsidP="0027134A">
      <w:pPr>
        <w:spacing w:line="240" w:lineRule="auto"/>
        <w:rPr>
          <w:rFonts w:asciiTheme="minorHAnsi" w:hAnsiTheme="minorHAnsi"/>
        </w:rPr>
      </w:pPr>
      <w:r w:rsidRPr="00A0534A">
        <w:rPr>
          <w:rFonts w:asciiTheme="minorHAnsi" w:hAnsiTheme="minorHAnsi"/>
        </w:rPr>
        <w:t>§2.301</w:t>
      </w:r>
      <w:r w:rsidRPr="00A0534A">
        <w:rPr>
          <w:rFonts w:asciiTheme="minorHAnsi" w:hAnsiTheme="minorHAnsi"/>
        </w:rPr>
        <w:tab/>
      </w:r>
      <w:r w:rsidRPr="00A0534A">
        <w:rPr>
          <w:rFonts w:asciiTheme="minorHAnsi" w:hAnsiTheme="minorHAnsi"/>
        </w:rPr>
        <w:tab/>
        <w:t>General</w:t>
      </w:r>
    </w:p>
    <w:p w14:paraId="7A2FE9CC" w14:textId="77777777" w:rsidR="00472FFB" w:rsidRPr="00A0534A" w:rsidRDefault="00472FFB" w:rsidP="0027134A">
      <w:pPr>
        <w:spacing w:line="240" w:lineRule="auto"/>
        <w:rPr>
          <w:rFonts w:asciiTheme="minorHAnsi" w:hAnsi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0"/>
      </w:tblGrid>
      <w:tr w:rsidR="00A0534A" w:rsidRPr="00B443FB" w14:paraId="3091C573" w14:textId="77777777" w:rsidTr="006A7318">
        <w:trPr>
          <w:tblCellSpacing w:w="15" w:type="dxa"/>
        </w:trPr>
        <w:tc>
          <w:tcPr>
            <w:tcW w:w="0" w:type="auto"/>
            <w:vAlign w:val="center"/>
          </w:tcPr>
          <w:p w14:paraId="59D963DD" w14:textId="15F2AA83" w:rsidR="00A0534A" w:rsidRPr="00B443FB" w:rsidRDefault="00A0534A" w:rsidP="0027134A">
            <w:pPr>
              <w:spacing w:line="240" w:lineRule="auto"/>
              <w:jc w:val="both"/>
              <w:rPr>
                <w:rFonts w:asciiTheme="minorHAnsi" w:hAnsiTheme="minorHAnsi" w:cstheme="minorHAnsi"/>
              </w:rPr>
            </w:pPr>
            <w:r w:rsidRPr="00B443FB">
              <w:rPr>
                <w:rFonts w:asciiTheme="minorHAnsi" w:hAnsiTheme="minorHAnsi" w:cstheme="minorHAnsi"/>
              </w:rPr>
              <w:t>Department divisions will recommend to the Committee the initiation of proceedings to assess administrative penalties where the Responsible Party or Parties have violated Chapter</w:t>
            </w:r>
            <w:r w:rsidR="003627BD">
              <w:rPr>
                <w:rFonts w:asciiTheme="minorHAnsi" w:hAnsiTheme="minorHAnsi" w:cstheme="minorHAnsi"/>
              </w:rPr>
              <w:t>s 2105 or</w:t>
            </w:r>
            <w:r w:rsidRPr="00B443FB">
              <w:rPr>
                <w:rFonts w:asciiTheme="minorHAnsi" w:hAnsiTheme="minorHAnsi" w:cstheme="minorHAnsi"/>
              </w:rPr>
              <w:t xml:space="preserve"> 2306 of the Texas Government Code or a rule or order adopted under Chapter</w:t>
            </w:r>
            <w:r w:rsidR="003627BD">
              <w:rPr>
                <w:rFonts w:asciiTheme="minorHAnsi" w:hAnsiTheme="minorHAnsi" w:cstheme="minorHAnsi"/>
              </w:rPr>
              <w:t>s 2105 or</w:t>
            </w:r>
            <w:r w:rsidRPr="00B443FB">
              <w:rPr>
                <w:rFonts w:asciiTheme="minorHAnsi" w:hAnsiTheme="minorHAnsi" w:cstheme="minorHAnsi"/>
              </w:rPr>
              <w:t xml:space="preserve"> 2306 of the Texas Government Code and failed, despite written notice, to take appropriate and timely corrective action or seek and obtain for good cause an extension of the time to take corrective action. In addition, staff from the Compliance or Fair Housing Divisions may recommend to the Committee the initiation of proceedings to assess administrative penalties where the Responsible Party or Parties has an established pattern of repeated substantive and material violations</w:t>
            </w:r>
            <w:r w:rsidR="003C5D72">
              <w:rPr>
                <w:rFonts w:asciiTheme="minorHAnsi" w:hAnsiTheme="minorHAnsi" w:cstheme="minorHAnsi"/>
              </w:rPr>
              <w:t>,</w:t>
            </w:r>
            <w:r w:rsidRPr="00B443FB">
              <w:rPr>
                <w:rFonts w:asciiTheme="minorHAnsi" w:hAnsiTheme="minorHAnsi" w:cstheme="minorHAnsi"/>
              </w:rPr>
              <w:t xml:space="preserve"> even if corrected within the applicable corrective action periods.</w:t>
            </w:r>
          </w:p>
          <w:p w14:paraId="03D8F74C" w14:textId="77777777" w:rsidR="00A0534A" w:rsidRPr="00B443FB" w:rsidRDefault="00A0534A" w:rsidP="0027134A">
            <w:pPr>
              <w:spacing w:line="240" w:lineRule="auto"/>
              <w:rPr>
                <w:rFonts w:asciiTheme="minorHAnsi" w:hAnsiTheme="minorHAnsi" w:cstheme="minorHAnsi"/>
              </w:rPr>
            </w:pPr>
          </w:p>
          <w:p w14:paraId="3593C234" w14:textId="77777777" w:rsidR="00A0534A" w:rsidRPr="00B443FB" w:rsidRDefault="00A0534A" w:rsidP="0027134A">
            <w:pPr>
              <w:spacing w:line="240" w:lineRule="auto"/>
              <w:jc w:val="both"/>
              <w:rPr>
                <w:rFonts w:asciiTheme="minorHAnsi" w:hAnsiTheme="minorHAnsi" w:cstheme="minorHAnsi"/>
              </w:rPr>
            </w:pPr>
            <w:r w:rsidRPr="00B443FB">
              <w:rPr>
                <w:rFonts w:asciiTheme="minorHAnsi" w:hAnsiTheme="minorHAnsi" w:cstheme="minorHAnsi"/>
              </w:rPr>
              <w:t>§2.302  Administrative Penalty Process</w:t>
            </w:r>
          </w:p>
          <w:p w14:paraId="008E0316" w14:textId="77777777" w:rsidR="00A0534A" w:rsidRPr="00B443FB" w:rsidRDefault="00A0534A" w:rsidP="0027134A">
            <w:pPr>
              <w:spacing w:line="240" w:lineRule="auto"/>
              <w:jc w:val="both"/>
              <w:rPr>
                <w:rFonts w:asciiTheme="minorHAnsi" w:hAnsiTheme="minorHAnsi" w:cstheme="minorHAnsi"/>
              </w:rPr>
            </w:pPr>
          </w:p>
          <w:p w14:paraId="53211B0B" w14:textId="7FF1DB10" w:rsidR="00A0534A" w:rsidRPr="00B443FB" w:rsidRDefault="00A0534A" w:rsidP="006E2416">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(a) The Executive Director will appoint an Enforcement Committee, as defined in §2.102 of this chapter (relating to Definitions). </w:t>
            </w:r>
          </w:p>
          <w:p w14:paraId="38175DE6" w14:textId="47D23DD1"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(b) This referring division will recommend the initiation of administrative penalty proceedings to the Committee by referral to the secretary of the Committee (“Secretary”).  At the time of referral for a multifamily rental Development, the referral letter from the referring Division will require the Responsible Party who Controls the Development to provide a listing of the Actively Monitor</w:t>
            </w:r>
            <w:r w:rsidR="003C5D72">
              <w:rPr>
                <w:rFonts w:asciiTheme="minorHAnsi" w:eastAsia="Times New Roman" w:hAnsiTheme="minorHAnsi" w:cstheme="minorHAnsi"/>
              </w:rPr>
              <w:t>ed</w:t>
            </w:r>
            <w:r w:rsidRPr="00B443FB">
              <w:rPr>
                <w:rFonts w:asciiTheme="minorHAnsi" w:eastAsia="Times New Roman" w:hAnsiTheme="minorHAnsi" w:cstheme="minorHAnsi"/>
              </w:rPr>
              <w:t xml:space="preserve"> Developments in their portfolio.  The Secretary will use this information to help determine whether mandatory Debarment should be simultaneously considered by the Enforcement Committee in accordance with §2.401(e</w:t>
            </w:r>
            <w:proofErr w:type="gramStart"/>
            <w:r w:rsidRPr="00B443FB">
              <w:rPr>
                <w:rFonts w:asciiTheme="minorHAnsi" w:eastAsia="Times New Roman" w:hAnsiTheme="minorHAnsi" w:cstheme="minorHAnsi"/>
              </w:rPr>
              <w:t>)(</w:t>
            </w:r>
            <w:proofErr w:type="gramEnd"/>
            <w:r w:rsidRPr="00B443FB">
              <w:rPr>
                <w:rFonts w:asciiTheme="minorHAnsi" w:eastAsia="Times New Roman" w:hAnsiTheme="minorHAnsi" w:cstheme="minorHAnsi"/>
              </w:rPr>
              <w:t xml:space="preserve">2) of this section, related to repeated violations. </w:t>
            </w:r>
          </w:p>
          <w:p w14:paraId="4279238C" w14:textId="77777777" w:rsidR="006E2416" w:rsidRPr="00B443FB" w:rsidRDefault="006E2416" w:rsidP="0027134A">
            <w:pPr>
              <w:spacing w:line="240" w:lineRule="auto"/>
              <w:jc w:val="both"/>
              <w:rPr>
                <w:rFonts w:asciiTheme="minorHAnsi" w:eastAsia="Times New Roman" w:hAnsiTheme="minorHAnsi" w:cstheme="minorHAnsi"/>
              </w:rPr>
            </w:pPr>
          </w:p>
          <w:p w14:paraId="7379FF6B" w14:textId="743DF5C5"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lastRenderedPageBreak/>
              <w:t>(c) The Secretary shall promptly contact the Responsible Party. If fully acceptable corrective action documentation is submitted to the referring division before the (“Secretary”) sends an informal conference notice, the referral shall be closed with no further action provided that the Responsible Party is not subject to consideration for Debarment.</w:t>
            </w:r>
          </w:p>
          <w:p w14:paraId="52BE233E" w14:textId="7C9C8EE4" w:rsidR="00A0534A" w:rsidRPr="00B443FB" w:rsidRDefault="00A0534A" w:rsidP="0027134A">
            <w:pPr>
              <w:spacing w:line="240" w:lineRule="auto"/>
              <w:jc w:val="both"/>
              <w:rPr>
                <w:rFonts w:asciiTheme="minorHAnsi" w:eastAsia="Times New Roman" w:hAnsiTheme="minorHAnsi" w:cstheme="minorHAnsi"/>
              </w:rPr>
            </w:pPr>
            <w:r w:rsidRPr="00B443FB" w:rsidDel="001A7DA9">
              <w:rPr>
                <w:rFonts w:asciiTheme="minorHAnsi" w:eastAsia="Times New Roman" w:hAnsiTheme="minorHAnsi" w:cstheme="minorHAnsi"/>
              </w:rPr>
              <w:t xml:space="preserve"> </w:t>
            </w:r>
            <w:r w:rsidRPr="00B443FB">
              <w:rPr>
                <w:rFonts w:asciiTheme="minorHAnsi" w:eastAsia="Times New Roman" w:hAnsiTheme="minorHAnsi" w:cstheme="minorHAnsi"/>
              </w:rPr>
              <w:t>If the Secretary is not able to facilitate resolution, but receives a reasonable plan for correction, such plan shall be reported to the Committee to determine whether to schedule an informal conference, modify the plan, or accept the plan.  If accepted, plan progress shall be regularly reported to the Committee, but an informal conference will not be held unless the approved plan is substantively violated, or an informal conference is later requested by the Committee or the Responsible Party.  Plan examples include but are not limited to: a rehabilitation plan with a scope of work or contracts already in place, plans approved by EARAC as part of an ownership transfer or funding application, plans approved by the Executive Director, plans approved by the Asset Management Division, and/or plans relating to newly transferred Developments with unresolved Events of Noncompliance originating under prior ownership.</w:t>
            </w:r>
            <w:r w:rsidR="006E2416" w:rsidRPr="00B443FB">
              <w:rPr>
                <w:rFonts w:asciiTheme="minorHAnsi" w:eastAsia="Times New Roman" w:hAnsiTheme="minorHAnsi" w:cstheme="minorHAnsi"/>
              </w:rPr>
              <w:t xml:space="preserve"> </w:t>
            </w:r>
            <w:r w:rsidRPr="00B443FB">
              <w:rPr>
                <w:rFonts w:asciiTheme="minorHAnsi" w:eastAsia="Times New Roman" w:hAnsiTheme="minorHAnsi" w:cstheme="minorHAnsi"/>
              </w:rPr>
              <w:t xml:space="preserve">Should the Secretary and Responsible Party fail to come to, an agreement or closer of the referral, </w:t>
            </w:r>
            <w:proofErr w:type="gramStart"/>
            <w:r w:rsidRPr="00B443FB">
              <w:rPr>
                <w:rFonts w:asciiTheme="minorHAnsi" w:eastAsia="Times New Roman" w:hAnsiTheme="minorHAnsi" w:cstheme="minorHAnsi"/>
              </w:rPr>
              <w:t>or if</w:t>
            </w:r>
            <w:proofErr w:type="gramEnd"/>
            <w:r w:rsidRPr="00B443FB">
              <w:rPr>
                <w:rFonts w:asciiTheme="minorHAnsi" w:eastAsia="Times New Roman" w:hAnsiTheme="minorHAnsi" w:cstheme="minorHAnsi"/>
              </w:rPr>
              <w:t xml:space="preserve"> the Responsible Party or ownership group’s prior history of administrative penalty referrals does not support closure, or if consideration of Debarment is appropriate, the Secretary will schedule an informal conference with the Responsible Party to attempt to reach an agreed resolution.</w:t>
            </w:r>
          </w:p>
          <w:p w14:paraId="642C3612" w14:textId="126F56C9"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(d) When an informal conference is scheduled, a deadline for submitting </w:t>
            </w:r>
            <w:r w:rsidR="007042A3">
              <w:rPr>
                <w:rFonts w:asciiTheme="minorHAnsi" w:eastAsia="Times New Roman" w:hAnsiTheme="minorHAnsi" w:cstheme="minorHAnsi"/>
              </w:rPr>
              <w:t>C</w:t>
            </w:r>
            <w:r w:rsidRPr="00B443FB">
              <w:rPr>
                <w:rFonts w:asciiTheme="minorHAnsi" w:eastAsia="Times New Roman" w:hAnsiTheme="minorHAnsi" w:cstheme="minorHAnsi"/>
              </w:rPr>
              <w:t xml:space="preserve">orrective </w:t>
            </w:r>
            <w:r w:rsidR="007042A3">
              <w:rPr>
                <w:rFonts w:asciiTheme="minorHAnsi" w:eastAsia="Times New Roman" w:hAnsiTheme="minorHAnsi" w:cstheme="minorHAnsi"/>
              </w:rPr>
              <w:t>A</w:t>
            </w:r>
            <w:r w:rsidRPr="00B443FB">
              <w:rPr>
                <w:rFonts w:asciiTheme="minorHAnsi" w:eastAsia="Times New Roman" w:hAnsiTheme="minorHAnsi" w:cstheme="minorHAnsi"/>
              </w:rPr>
              <w:t>ction documentation will be included, providing a final opportunity for resolution.  If compliance is achieved at this stage, the referral will be closed with a warning letter provided that factors, as discussed below, do not preclude such closure.  Closure with a warning letter shall be reported to the Committee.</w:t>
            </w:r>
            <w:r w:rsidR="006E2416" w:rsidRPr="00B443FB">
              <w:rPr>
                <w:rFonts w:asciiTheme="minorHAnsi" w:eastAsia="Times New Roman" w:hAnsiTheme="minorHAnsi" w:cstheme="minorHAnsi"/>
              </w:rPr>
              <w:t xml:space="preserve"> </w:t>
            </w:r>
            <w:r w:rsidRPr="00B443FB">
              <w:rPr>
                <w:rFonts w:asciiTheme="minorHAnsi" w:eastAsia="Times New Roman" w:hAnsiTheme="minorHAnsi" w:cstheme="minorHAnsi"/>
              </w:rPr>
              <w:t>Factors that will determine whether it is appropriate to close with a warning letter include</w:t>
            </w:r>
            <w:r w:rsidR="008E3997">
              <w:rPr>
                <w:rFonts w:asciiTheme="minorHAnsi" w:eastAsia="Times New Roman" w:hAnsiTheme="minorHAnsi" w:cstheme="minorHAnsi"/>
              </w:rPr>
              <w:t>,</w:t>
            </w:r>
            <w:r w:rsidRPr="00B443FB">
              <w:rPr>
                <w:rFonts w:asciiTheme="minorHAnsi" w:eastAsia="Times New Roman" w:hAnsiTheme="minorHAnsi" w:cstheme="minorHAnsi"/>
              </w:rPr>
              <w:t xml:space="preserve"> but are not limited to:</w:t>
            </w:r>
          </w:p>
          <w:p w14:paraId="0F234608" w14:textId="41364639" w:rsidR="00A0534A"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(1)  Prior Enforcement Committee history relating to the Development or other properties in the ownership group;</w:t>
            </w:r>
          </w:p>
          <w:p w14:paraId="5A30D04C" w14:textId="51C54766" w:rsidR="008E3997" w:rsidRPr="00B443FB" w:rsidRDefault="008E3997" w:rsidP="0027134A">
            <w:pPr>
              <w:spacing w:line="240" w:lineRule="auto"/>
              <w:jc w:val="both"/>
              <w:rPr>
                <w:rFonts w:asciiTheme="minorHAnsi" w:eastAsia="Times New Roman" w:hAnsiTheme="minorHAnsi" w:cstheme="minorHAnsi"/>
              </w:rPr>
            </w:pPr>
            <w:r>
              <w:rPr>
                <w:rFonts w:asciiTheme="minorHAnsi" w:eastAsia="Times New Roman" w:hAnsiTheme="minorHAnsi" w:cstheme="minorHAnsi"/>
              </w:rPr>
              <w:t>(2)   Prior Enforcement Committee history regarding similar federal or state Programs;</w:t>
            </w:r>
          </w:p>
          <w:p w14:paraId="57424D30" w14:textId="50E8DF9B"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w:t>
            </w:r>
            <w:r w:rsidR="008E3997">
              <w:rPr>
                <w:rFonts w:asciiTheme="minorHAnsi" w:eastAsia="Times New Roman" w:hAnsiTheme="minorHAnsi" w:cstheme="minorHAnsi"/>
              </w:rPr>
              <w:t>3</w:t>
            </w:r>
            <w:r w:rsidRPr="00B443FB">
              <w:rPr>
                <w:rFonts w:asciiTheme="minorHAnsi" w:eastAsia="Times New Roman" w:hAnsiTheme="minorHAnsi" w:cstheme="minorHAnsi"/>
              </w:rPr>
              <w:t>) Whether the deadline set by the Secretary in the informal conference notice has been met;</w:t>
            </w:r>
          </w:p>
          <w:p w14:paraId="259811B1" w14:textId="10D72157"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w:t>
            </w:r>
            <w:r w:rsidR="008E3997">
              <w:rPr>
                <w:rFonts w:asciiTheme="minorHAnsi" w:eastAsia="Times New Roman" w:hAnsiTheme="minorHAnsi" w:cstheme="minorHAnsi"/>
              </w:rPr>
              <w:t>4</w:t>
            </w:r>
            <w:r w:rsidRPr="00B443FB">
              <w:rPr>
                <w:rFonts w:asciiTheme="minorHAnsi" w:eastAsia="Times New Roman" w:hAnsiTheme="minorHAnsi" w:cstheme="minorHAnsi"/>
              </w:rPr>
              <w:t xml:space="preserve">)  Whether the Committee has set any exceptions for certain finding types; and </w:t>
            </w:r>
          </w:p>
          <w:p w14:paraId="55EB7251" w14:textId="2826CCE4"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w:t>
            </w:r>
            <w:r w:rsidR="008E3997">
              <w:rPr>
                <w:rFonts w:asciiTheme="minorHAnsi" w:eastAsia="Times New Roman" w:hAnsiTheme="minorHAnsi" w:cstheme="minorHAnsi"/>
              </w:rPr>
              <w:t>5</w:t>
            </w:r>
            <w:r w:rsidRPr="00B443FB">
              <w:rPr>
                <w:rFonts w:asciiTheme="minorHAnsi" w:eastAsia="Times New Roman" w:hAnsiTheme="minorHAnsi" w:cstheme="minorHAnsi"/>
              </w:rPr>
              <w:t>) Any other factor that may be relevant to the situation.</w:t>
            </w:r>
          </w:p>
          <w:p w14:paraId="448D5E0C" w14:textId="36D5176C"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(e) If an informal conference is held: </w:t>
            </w:r>
          </w:p>
          <w:p w14:paraId="7E5DDD47" w14:textId="7770E8E7"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(1) Notwithstanding the Responsible Party’s attendance or presence of an authorized representative, the Enforcement Committee may proceed with the informal conference; </w:t>
            </w:r>
          </w:p>
          <w:p w14:paraId="71FEF4B6" w14:textId="77777777"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(2) The Responsible Party may, but is not required to be, represented by legal counsel of their choosing at their own cost and expense; </w:t>
            </w:r>
          </w:p>
          <w:p w14:paraId="5CFED723" w14:textId="77777777"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(3) The Responsible Party may bring to the meeting third parties, employees, and agents with knowledge of the issues; </w:t>
            </w:r>
          </w:p>
          <w:p w14:paraId="37903EA5" w14:textId="77777777"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(4)  Assessment of an administrative penalty and Debarment may be considered at the same informal conference; and </w:t>
            </w:r>
          </w:p>
          <w:p w14:paraId="548765B4" w14:textId="08440651" w:rsidR="006E2416"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(5) In order to facilitate candid dialogue, informal conference will not be open to the public; however, the Committee may include such other persons or witnesses as the Committee deems necessary for a complete and full development of relevant information and evidence. </w:t>
            </w:r>
          </w:p>
          <w:p w14:paraId="226D8B63" w14:textId="74F54B9B"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(f) An informal conference may result in the following, which shall be reported to the Executive Director: </w:t>
            </w:r>
          </w:p>
          <w:p w14:paraId="5F890A3D" w14:textId="0162734C"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(1) An agreement to dismiss the matter with no further action </w:t>
            </w:r>
          </w:p>
          <w:p w14:paraId="275AA59F" w14:textId="671BF83D"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(2) A  compliance  assistance  notice issued by the Committee, available for Responsible Parties appearing for the first time before the Committee for matters which the Committee determines do not </w:t>
            </w:r>
            <w:r w:rsidRPr="00B443FB">
              <w:rPr>
                <w:rFonts w:asciiTheme="minorHAnsi" w:eastAsia="Times New Roman" w:hAnsiTheme="minorHAnsi" w:cstheme="minorHAnsi"/>
              </w:rPr>
              <w:lastRenderedPageBreak/>
              <w:t xml:space="preserve">necessitate the assessment of an administrative penalty, but for which the Committee wishes to place the Responsible Party on notice with regard to possible future  penalty assessment; </w:t>
            </w:r>
          </w:p>
          <w:p w14:paraId="5B9087F9" w14:textId="5E0A3346"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(3) An agreement to resolve the matter through corrective action without penalty. If the agreement is to be included in an order, a proposed agreed order will be prepared and presented to the Board for approval; </w:t>
            </w:r>
          </w:p>
          <w:p w14:paraId="52BD32AC" w14:textId="58DEF84A"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(4) An agreement to resolve the matter through corrective action with the assessment of an administrative penalty which may be probated in whole or in part, and may, where appropriate, include additional action to promote compliance such as  requirements to obtain training. In this circumstance, a proposed agreed order will be prepared and presented to Department’s Governing Board for approval; </w:t>
            </w:r>
          </w:p>
          <w:p w14:paraId="28D00760" w14:textId="5314CEC9"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(5) A recommendation by the Committee to the Executive Director to determine that a violation occurred, and to  issue  a report to the Board and  a Notice of Violation to the Responsible Party, seeking the assessment of administrative penalties through a contested case hearing with the State Office of Administrative Hearings (“SOAH”); or    </w:t>
            </w:r>
          </w:p>
          <w:p w14:paraId="4FB7AEFD" w14:textId="252232CB" w:rsidR="00A0534A" w:rsidRPr="00B443FB" w:rsidRDefault="00A0534A" w:rsidP="0027134A">
            <w:pPr>
              <w:spacing w:line="240" w:lineRule="auto"/>
              <w:rPr>
                <w:rFonts w:asciiTheme="minorHAnsi" w:eastAsia="Times New Roman" w:hAnsiTheme="minorHAnsi" w:cstheme="minorHAnsi"/>
              </w:rPr>
            </w:pPr>
            <w:r w:rsidRPr="00B443FB">
              <w:rPr>
                <w:rFonts w:asciiTheme="minorHAnsi" w:eastAsia="Times New Roman" w:hAnsiTheme="minorHAnsi" w:cstheme="minorHAnsi"/>
              </w:rPr>
              <w:t xml:space="preserve">  (6) Other action as </w:t>
            </w:r>
            <w:r w:rsidR="00422529" w:rsidRPr="00B443FB">
              <w:rPr>
                <w:rFonts w:asciiTheme="minorHAnsi" w:eastAsia="Times New Roman" w:hAnsiTheme="minorHAnsi" w:cstheme="minorHAnsi"/>
              </w:rPr>
              <w:t>the Committee deems appropriate</w:t>
            </w:r>
            <w:r w:rsidRPr="00B443FB">
              <w:rPr>
                <w:rFonts w:asciiTheme="minorHAnsi" w:eastAsia="Times New Roman" w:hAnsiTheme="minorHAnsi" w:cstheme="minorHAnsi"/>
              </w:rPr>
              <w:t xml:space="preserve">. </w:t>
            </w:r>
          </w:p>
          <w:p w14:paraId="54C0F3D4" w14:textId="4CA9EC30" w:rsidR="00A0534A" w:rsidRPr="00B443FB" w:rsidRDefault="00A0534A" w:rsidP="006E2416">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(g) Upon receipt of a recommendation from the Committee regarding the issuance of a report and assessment of an administrative penalty under subsection (f</w:t>
            </w:r>
            <w:proofErr w:type="gramStart"/>
            <w:r w:rsidRPr="00B443FB">
              <w:rPr>
                <w:rFonts w:asciiTheme="minorHAnsi" w:eastAsia="Times New Roman" w:hAnsiTheme="minorHAnsi" w:cstheme="minorHAnsi"/>
              </w:rPr>
              <w:t>)(</w:t>
            </w:r>
            <w:proofErr w:type="gramEnd"/>
            <w:r w:rsidRPr="00B443FB">
              <w:rPr>
                <w:rFonts w:asciiTheme="minorHAnsi" w:eastAsia="Times New Roman" w:hAnsiTheme="minorHAnsi" w:cstheme="minorHAnsi"/>
              </w:rPr>
              <w:t xml:space="preserve">5), the Executive Director shall determine whether a violation has occurred. If needed, the Executive Director may request additional information and/or return the recommendation to the Committee for further development. If the Executive Director determines that a violation has occurred, the Executive Director will issue a report to the Board in accordance with §2306.043 of the Texas Government Code. </w:t>
            </w:r>
          </w:p>
          <w:p w14:paraId="0956F6A4" w14:textId="29243139" w:rsidR="00A0534A" w:rsidRPr="00B443FB" w:rsidRDefault="00A0534A" w:rsidP="006E2416">
            <w:pPr>
              <w:spacing w:line="240" w:lineRule="auto"/>
              <w:jc w:val="both"/>
              <w:rPr>
                <w:rFonts w:asciiTheme="minorHAnsi" w:eastAsia="Times New Roman" w:hAnsiTheme="minorHAnsi" w:cstheme="minorHAnsi"/>
              </w:rPr>
            </w:pPr>
            <w:proofErr w:type="gramStart"/>
            <w:r w:rsidRPr="00B443FB">
              <w:rPr>
                <w:rFonts w:asciiTheme="minorHAnsi" w:eastAsia="Times New Roman" w:hAnsiTheme="minorHAnsi" w:cstheme="minorHAnsi"/>
              </w:rPr>
              <w:t>(h) Not</w:t>
            </w:r>
            <w:proofErr w:type="gramEnd"/>
            <w:r w:rsidRPr="00B443FB">
              <w:rPr>
                <w:rFonts w:asciiTheme="minorHAnsi" w:eastAsia="Times New Roman" w:hAnsiTheme="minorHAnsi" w:cstheme="minorHAnsi"/>
              </w:rPr>
              <w:t xml:space="preserve"> </w:t>
            </w:r>
            <w:proofErr w:type="gramStart"/>
            <w:r w:rsidRPr="00B443FB">
              <w:rPr>
                <w:rFonts w:asciiTheme="minorHAnsi" w:eastAsia="Times New Roman" w:hAnsiTheme="minorHAnsi" w:cstheme="minorHAnsi"/>
              </w:rPr>
              <w:t>later</w:t>
            </w:r>
            <w:proofErr w:type="gramEnd"/>
            <w:r w:rsidRPr="00B443FB">
              <w:rPr>
                <w:rFonts w:asciiTheme="minorHAnsi" w:eastAsia="Times New Roman" w:hAnsiTheme="minorHAnsi" w:cstheme="minorHAnsi"/>
              </w:rPr>
              <w:t xml:space="preserve"> than fourteen (14) days after issuance of the report to the Board, the Executive Director will issue a Notice of Violation to the Responsible Party. The Notice of Violation issued by the Executive Director will include: </w:t>
            </w:r>
          </w:p>
          <w:p w14:paraId="6840B742" w14:textId="07C7FDD7" w:rsidR="00A0534A" w:rsidRPr="00B443FB" w:rsidRDefault="00A0534A" w:rsidP="006E2416">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(1) A summary of the alleged violation(s) together with reference to the particular sections of the statutes and rules alleged to have been violated; </w:t>
            </w:r>
          </w:p>
          <w:p w14:paraId="15C35C56" w14:textId="7437E8D6" w:rsidR="00A0534A" w:rsidRPr="00B443FB" w:rsidRDefault="00A0534A" w:rsidP="006E2416">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(2)  A  statement informing the Responsible Party of the right to a hearing before the SOAH, if applicable, on the occurrence of the violation(s), the amount of penalty, or both; </w:t>
            </w:r>
          </w:p>
          <w:p w14:paraId="02B9FE4D" w14:textId="1FEC5AC5"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(3)  Any other matters deemed relevant; and </w:t>
            </w:r>
          </w:p>
          <w:p w14:paraId="345D8626" w14:textId="56377AEC"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  (4) The amount of the recommended penalty. In determining the amount of a recommended administrative penalty, the Executive Director shall take into consideration the statutory factors at Tex. Gov’t Code §2306.042 the penalty schedule shown in the tables in subsection (l) of this section  and in the instance of a proceeding to assess administrative penalties against a Responsible Party administering CDBG, CSBG, or </w:t>
            </w:r>
            <w:r w:rsidR="008C16B1">
              <w:rPr>
                <w:rFonts w:asciiTheme="minorHAnsi" w:eastAsia="Times New Roman" w:hAnsiTheme="minorHAnsi" w:cstheme="minorHAnsi"/>
              </w:rPr>
              <w:t>LIHEAP</w:t>
            </w:r>
            <w:r w:rsidRPr="00B443FB">
              <w:rPr>
                <w:rFonts w:asciiTheme="minorHAnsi" w:eastAsia="Times New Roman" w:hAnsiTheme="minorHAnsi" w:cstheme="minorHAnsi"/>
              </w:rPr>
              <w:t xml:space="preserve">, whether the assessment of such penalty will interfere with the uninterrupted delivery of services under such program(s).  The Executive Director shall further take into account whether the Department's purposes may be achieved or enhanced by the use of full or partial probation of penalties subject to adherence to specific requirements and whether the violation(s) in question involve disallowed costs. </w:t>
            </w:r>
          </w:p>
          <w:p w14:paraId="5100A43C" w14:textId="5BC60C09" w:rsidR="00A0534A" w:rsidRPr="00B443FB" w:rsidRDefault="00A0534A" w:rsidP="0027134A">
            <w:pPr>
              <w:spacing w:line="240" w:lineRule="auto"/>
              <w:jc w:val="both"/>
              <w:rPr>
                <w:rFonts w:asciiTheme="minorHAnsi" w:eastAsia="Times New Roman" w:hAnsiTheme="minorHAnsi" w:cstheme="minorHAnsi"/>
              </w:rPr>
            </w:pPr>
            <w:r w:rsidRPr="00B443FB" w:rsidDel="00CD273D">
              <w:rPr>
                <w:rFonts w:asciiTheme="minorHAnsi" w:eastAsia="Times New Roman" w:hAnsiTheme="minorHAnsi" w:cstheme="minorHAnsi"/>
              </w:rPr>
              <w:t xml:space="preserve"> </w:t>
            </w:r>
            <w:r w:rsidRPr="00B443FB">
              <w:rPr>
                <w:rFonts w:asciiTheme="minorHAnsi" w:eastAsia="Times New Roman" w:hAnsiTheme="minorHAnsi" w:cstheme="minorHAnsi"/>
              </w:rPr>
              <w:t xml:space="preserve">(j) Not later than 20 days after the Responsible Party receives the Notice of Violation, the Responsible Party may accept </w:t>
            </w:r>
            <w:r w:rsidR="00466410" w:rsidRPr="00B443FB">
              <w:rPr>
                <w:rFonts w:asciiTheme="minorHAnsi" w:eastAsia="Times New Roman" w:hAnsiTheme="minorHAnsi" w:cstheme="minorHAnsi"/>
              </w:rPr>
              <w:t>the requirements</w:t>
            </w:r>
            <w:r w:rsidRPr="00B443FB">
              <w:rPr>
                <w:rFonts w:asciiTheme="minorHAnsi" w:eastAsia="Times New Roman" w:hAnsiTheme="minorHAnsi" w:cstheme="minorHAnsi"/>
              </w:rPr>
              <w:t xml:space="preserve"> of the Notice of </w:t>
            </w:r>
            <w:r w:rsidR="00466410" w:rsidRPr="00B443FB">
              <w:rPr>
                <w:rFonts w:asciiTheme="minorHAnsi" w:eastAsia="Times New Roman" w:hAnsiTheme="minorHAnsi" w:cstheme="minorHAnsi"/>
              </w:rPr>
              <w:t>Violation or</w:t>
            </w:r>
            <w:r w:rsidRPr="00B443FB">
              <w:rPr>
                <w:rFonts w:asciiTheme="minorHAnsi" w:eastAsia="Times New Roman" w:hAnsiTheme="minorHAnsi" w:cstheme="minorHAnsi"/>
              </w:rPr>
              <w:t xml:space="preserve"> request a SOAH hearing. </w:t>
            </w:r>
          </w:p>
          <w:p w14:paraId="20A96473" w14:textId="2BADF3F5" w:rsidR="00A0534A" w:rsidRPr="00B443FB" w:rsidRDefault="00A0534A" w:rsidP="0027134A">
            <w:pPr>
              <w:spacing w:line="240" w:lineRule="auto"/>
              <w:jc w:val="both"/>
              <w:rPr>
                <w:rFonts w:asciiTheme="minorHAnsi" w:eastAsia="Times New Roman" w:hAnsiTheme="minorHAnsi" w:cstheme="minorHAnsi"/>
              </w:rPr>
            </w:pPr>
            <w:r w:rsidRPr="00B443FB">
              <w:rPr>
                <w:rFonts w:asciiTheme="minorHAnsi" w:eastAsia="Times New Roman" w:hAnsiTheme="minorHAnsi" w:cstheme="minorHAnsi"/>
              </w:rPr>
              <w:t xml:space="preserve">(k) If the Responsible Party requests a hearing or does not respond to the Notice of Violation, the Executive Director, with the approval of the Board, shall cause the hearing to be docketed before a SOAH administrative law judge in accordance with §1.13 of this title (relating to </w:t>
            </w:r>
            <w:r w:rsidR="00B443FB" w:rsidRPr="00B443FB">
              <w:rPr>
                <w:rFonts w:asciiTheme="minorHAnsi" w:eastAsia="Times New Roman" w:hAnsiTheme="minorHAnsi" w:cstheme="minorHAnsi"/>
              </w:rPr>
              <w:t xml:space="preserve">Contested Case </w:t>
            </w:r>
            <w:r w:rsidRPr="00B443FB">
              <w:rPr>
                <w:rFonts w:asciiTheme="minorHAnsi" w:eastAsia="Times New Roman" w:hAnsiTheme="minorHAnsi" w:cstheme="minorHAnsi"/>
              </w:rPr>
              <w:t xml:space="preserve">Hearing Procedures), which outlines the remainder of the process. </w:t>
            </w:r>
          </w:p>
          <w:p w14:paraId="1D7F414F" w14:textId="6F198CBF" w:rsidR="00A0534A" w:rsidRDefault="00A0534A" w:rsidP="0027134A">
            <w:pPr>
              <w:spacing w:line="240" w:lineRule="auto"/>
              <w:rPr>
                <w:rFonts w:asciiTheme="minorHAnsi" w:eastAsia="Times New Roman" w:hAnsiTheme="minorHAnsi" w:cstheme="minorHAnsi"/>
              </w:rPr>
            </w:pPr>
          </w:p>
          <w:p w14:paraId="423979A4" w14:textId="77777777" w:rsidR="00CB0376" w:rsidRPr="00B443FB" w:rsidRDefault="00CB0376" w:rsidP="0027134A">
            <w:pPr>
              <w:spacing w:line="240" w:lineRule="auto"/>
              <w:rPr>
                <w:rFonts w:asciiTheme="minorHAnsi" w:eastAsia="Times New Roman" w:hAnsiTheme="minorHAnsi" w:cstheme="minorHAnsi"/>
              </w:rPr>
            </w:pPr>
          </w:p>
          <w:p w14:paraId="35F929A6" w14:textId="77777777" w:rsidR="00A0534A" w:rsidRPr="00B443FB" w:rsidRDefault="00A0534A" w:rsidP="0027134A">
            <w:pPr>
              <w:spacing w:line="240" w:lineRule="auto"/>
              <w:rPr>
                <w:rFonts w:asciiTheme="minorHAnsi" w:eastAsia="Times New Roman" w:hAnsiTheme="minorHAnsi" w:cstheme="minorHAnsi"/>
              </w:rPr>
            </w:pPr>
            <w:r w:rsidRPr="00B443FB">
              <w:rPr>
                <w:rFonts w:asciiTheme="minorHAnsi" w:eastAsia="Times New Roman" w:hAnsiTheme="minorHAnsi" w:cstheme="minorHAnsi"/>
              </w:rPr>
              <w:lastRenderedPageBreak/>
              <w:t>(l) Penalty schedules</w:t>
            </w:r>
          </w:p>
          <w:p w14:paraId="32BF96C1" w14:textId="77777777" w:rsidR="00A0534A" w:rsidRPr="00B443FB" w:rsidRDefault="00F97BCC" w:rsidP="0027134A">
            <w:pPr>
              <w:spacing w:line="240" w:lineRule="auto"/>
              <w:rPr>
                <w:rFonts w:asciiTheme="minorHAnsi" w:eastAsia="Times New Roman" w:hAnsiTheme="minorHAnsi" w:cstheme="minorHAnsi"/>
              </w:rPr>
            </w:pPr>
            <w:hyperlink r:id="rId8" w:history="1">
              <w:r w:rsidR="00A0534A" w:rsidRPr="00B443FB">
                <w:rPr>
                  <w:rFonts w:asciiTheme="minorHAnsi" w:eastAsia="Times New Roman" w:hAnsiTheme="minorHAnsi" w:cstheme="minorHAnsi"/>
                  <w:color w:val="0000FF"/>
                  <w:u w:val="single"/>
                </w:rPr>
                <w:t>Attached Graphic</w:t>
              </w:r>
            </w:hyperlink>
            <w:r w:rsidR="00A0534A" w:rsidRPr="00B443FB">
              <w:rPr>
                <w:rFonts w:asciiTheme="minorHAnsi" w:eastAsia="Times New Roman" w:hAnsiTheme="minorHAnsi" w:cstheme="minorHAnsi"/>
              </w:rPr>
              <w:t xml:space="preserve"> </w:t>
            </w:r>
          </w:p>
          <w:p w14:paraId="7B072E98" w14:textId="77777777" w:rsidR="00A0534A" w:rsidRPr="00B443FB" w:rsidRDefault="00F97BCC" w:rsidP="0027134A">
            <w:pPr>
              <w:spacing w:line="240" w:lineRule="auto"/>
              <w:rPr>
                <w:rFonts w:asciiTheme="minorHAnsi" w:eastAsia="Times New Roman" w:hAnsiTheme="minorHAnsi" w:cstheme="minorHAnsi"/>
                <w:highlight w:val="cyan"/>
              </w:rPr>
            </w:pPr>
            <w:hyperlink r:id="rId9" w:history="1">
              <w:r w:rsidR="00A0534A" w:rsidRPr="00B443FB">
                <w:rPr>
                  <w:rFonts w:asciiTheme="minorHAnsi" w:eastAsia="Times New Roman" w:hAnsiTheme="minorHAnsi" w:cstheme="minorHAnsi"/>
                  <w:color w:val="0000FF"/>
                  <w:u w:val="single"/>
                </w:rPr>
                <w:t>Attached Graphic</w:t>
              </w:r>
            </w:hyperlink>
            <w:r w:rsidR="00A0534A" w:rsidRPr="00B443FB">
              <w:rPr>
                <w:rFonts w:asciiTheme="minorHAnsi" w:eastAsia="Times New Roman" w:hAnsiTheme="minorHAnsi" w:cstheme="minorHAnsi"/>
                <w:highlight w:val="cyan"/>
              </w:rPr>
              <w:t xml:space="preserve"> </w:t>
            </w:r>
          </w:p>
          <w:p w14:paraId="5D937E2B" w14:textId="77777777" w:rsidR="00A0534A" w:rsidRPr="00B443FB" w:rsidRDefault="00F97BCC" w:rsidP="0027134A">
            <w:pPr>
              <w:spacing w:line="240" w:lineRule="auto"/>
              <w:rPr>
                <w:rFonts w:asciiTheme="minorHAnsi" w:eastAsia="Times New Roman" w:hAnsiTheme="minorHAnsi" w:cstheme="minorHAnsi"/>
              </w:rPr>
            </w:pPr>
            <w:hyperlink r:id="rId10" w:history="1">
              <w:r w:rsidR="00A0534A" w:rsidRPr="00B443FB">
                <w:rPr>
                  <w:rFonts w:asciiTheme="minorHAnsi" w:eastAsia="Times New Roman" w:hAnsiTheme="minorHAnsi" w:cstheme="minorHAnsi"/>
                  <w:color w:val="0000FF"/>
                  <w:u w:val="single"/>
                </w:rPr>
                <w:t>Attached Graphic</w:t>
              </w:r>
            </w:hyperlink>
            <w:r w:rsidR="00A0534A" w:rsidRPr="00B443FB">
              <w:rPr>
                <w:rFonts w:asciiTheme="minorHAnsi" w:eastAsia="Times New Roman" w:hAnsiTheme="minorHAnsi" w:cstheme="minorHAnsi"/>
              </w:rPr>
              <w:t xml:space="preserve"> </w:t>
            </w:r>
          </w:p>
          <w:p w14:paraId="7E5C28AF" w14:textId="77777777" w:rsidR="00A0534A" w:rsidRPr="00B443FB" w:rsidRDefault="00A0534A" w:rsidP="0027134A">
            <w:pPr>
              <w:spacing w:line="240" w:lineRule="auto"/>
              <w:rPr>
                <w:rFonts w:asciiTheme="minorHAnsi" w:eastAsia="Times New Roman" w:hAnsiTheme="minorHAnsi" w:cstheme="minorHAnsi"/>
              </w:rPr>
            </w:pPr>
          </w:p>
        </w:tc>
      </w:tr>
    </w:tbl>
    <w:p w14:paraId="438D2CDF" w14:textId="4B74CCFA" w:rsidR="00A0534A" w:rsidRPr="00B443FB" w:rsidRDefault="00A0534A" w:rsidP="0027134A">
      <w:pPr>
        <w:spacing w:line="240" w:lineRule="auto"/>
        <w:rPr>
          <w:rFonts w:asciiTheme="minorHAnsi" w:eastAsia="Times New Roman" w:hAnsiTheme="minorHAnsi"/>
        </w:rPr>
      </w:pPr>
      <w:r w:rsidRPr="00B443FB">
        <w:rPr>
          <w:rFonts w:asciiTheme="minorHAnsi" w:eastAsia="Times New Roman" w:hAnsiTheme="minorHAnsi"/>
        </w:rPr>
        <w:lastRenderedPageBreak/>
        <w:t>Figure 1: 10 TAC §2.302(l)</w:t>
      </w:r>
    </w:p>
    <w:tbl>
      <w:tblPr>
        <w:tblW w:w="433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84"/>
        <w:gridCol w:w="2160"/>
        <w:gridCol w:w="3485"/>
      </w:tblGrid>
      <w:tr w:rsidR="00A0534A" w:rsidRPr="00B443FB" w14:paraId="71DA8C2E" w14:textId="77777777" w:rsidTr="00466410">
        <w:trPr>
          <w:tblCellSpacing w:w="0" w:type="dxa"/>
        </w:trPr>
        <w:tc>
          <w:tcPr>
            <w:tcW w:w="5000" w:type="pct"/>
            <w:gridSpan w:val="3"/>
            <w:tcBorders>
              <w:top w:val="nil"/>
              <w:left w:val="nil"/>
              <w:bottom w:val="nil"/>
              <w:right w:val="nil"/>
            </w:tcBorders>
            <w:vAlign w:val="center"/>
            <w:hideMark/>
          </w:tcPr>
          <w:p w14:paraId="19FF4A85" w14:textId="24328353" w:rsidR="00A0534A" w:rsidRPr="005932B0" w:rsidRDefault="00A0534A" w:rsidP="0027134A">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Penalty table for Chapters 6 and 7 Findings of Noncompliance   These are the maximum potential administrative penalty amounts possible for each finding of noncompliance. When an administrative penalty is to be considered, the matrix below must be considered in conjunction with the statutory factors at Tex. Gov’t Code §2306.042.</w:t>
            </w:r>
          </w:p>
        </w:tc>
      </w:tr>
      <w:tr w:rsidR="00A0534A" w:rsidRPr="00B443FB" w14:paraId="6FB0CF42"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6840C5EE" w14:textId="40E4C56B" w:rsidR="00A0534A" w:rsidRPr="00B443FB" w:rsidRDefault="00A0534A" w:rsidP="0027134A">
            <w:pPr>
              <w:spacing w:line="240" w:lineRule="auto"/>
              <w:rPr>
                <w:rFonts w:asciiTheme="minorHAnsi" w:eastAsia="Times New Roman" w:hAnsiTheme="minorHAnsi"/>
                <w:b/>
                <w:bCs/>
              </w:rPr>
            </w:pPr>
            <w:r w:rsidRPr="00B443FB">
              <w:rPr>
                <w:rFonts w:asciiTheme="minorHAnsi" w:eastAsia="Times New Roman" w:hAnsiTheme="minorHAnsi"/>
                <w:b/>
                <w:bCs/>
              </w:rPr>
              <w:t xml:space="preserve">Finding of Noncompliance </w:t>
            </w:r>
          </w:p>
        </w:tc>
        <w:tc>
          <w:tcPr>
            <w:tcW w:w="1237" w:type="pct"/>
            <w:tcBorders>
              <w:top w:val="outset" w:sz="6" w:space="0" w:color="000000"/>
              <w:left w:val="outset" w:sz="6" w:space="0" w:color="000000"/>
              <w:bottom w:val="outset" w:sz="6" w:space="0" w:color="000000"/>
              <w:right w:val="outset" w:sz="6" w:space="0" w:color="000000"/>
            </w:tcBorders>
            <w:hideMark/>
          </w:tcPr>
          <w:p w14:paraId="17F63A2B" w14:textId="2376718A" w:rsidR="00A0534A" w:rsidRPr="00B443FB" w:rsidRDefault="00A0534A" w:rsidP="0027134A">
            <w:pPr>
              <w:spacing w:line="240" w:lineRule="auto"/>
              <w:rPr>
                <w:rFonts w:asciiTheme="minorHAnsi" w:eastAsia="Times New Roman" w:hAnsiTheme="minorHAnsi"/>
                <w:b/>
                <w:bCs/>
              </w:rPr>
            </w:pPr>
            <w:r w:rsidRPr="00B443FB">
              <w:rPr>
                <w:rFonts w:asciiTheme="minorHAnsi" w:eastAsia="Times New Roman" w:hAnsiTheme="minorHAnsi"/>
                <w:b/>
                <w:bCs/>
              </w:rPr>
              <w:t>Maximum first time administrative penalty assessment</w:t>
            </w:r>
          </w:p>
        </w:tc>
        <w:tc>
          <w:tcPr>
            <w:tcW w:w="1996" w:type="pct"/>
            <w:tcBorders>
              <w:top w:val="outset" w:sz="6" w:space="0" w:color="000000"/>
              <w:left w:val="outset" w:sz="6" w:space="0" w:color="000000"/>
              <w:bottom w:val="outset" w:sz="6" w:space="0" w:color="000000"/>
              <w:right w:val="outset" w:sz="6" w:space="0" w:color="000000"/>
            </w:tcBorders>
            <w:hideMark/>
          </w:tcPr>
          <w:p w14:paraId="5C223D04" w14:textId="11EE828B" w:rsidR="00A0534A" w:rsidRPr="005932B0" w:rsidRDefault="00A0534A" w:rsidP="0027134A">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Maximum</w:t>
            </w:r>
          </w:p>
          <w:p w14:paraId="288BA18A" w14:textId="77777777" w:rsidR="00A0534A" w:rsidRPr="005932B0" w:rsidRDefault="00A0534A" w:rsidP="0027134A">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Administrative penalty assessment for a Responsible</w:t>
            </w:r>
          </w:p>
          <w:p w14:paraId="0FC0F1DE" w14:textId="77777777" w:rsidR="00A0534A" w:rsidRPr="005932B0" w:rsidRDefault="00A0534A" w:rsidP="0027134A">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Party that has previously paid a penalty for the</w:t>
            </w:r>
          </w:p>
          <w:p w14:paraId="780B971B" w14:textId="77777777" w:rsidR="00A0534A" w:rsidRPr="005932B0" w:rsidRDefault="00A0534A" w:rsidP="0027134A">
            <w:pPr>
              <w:spacing w:line="240" w:lineRule="auto"/>
              <w:rPr>
                <w:rFonts w:asciiTheme="minorHAnsi" w:eastAsia="Times New Roman" w:hAnsiTheme="minorHAnsi"/>
              </w:rPr>
            </w:pPr>
            <w:r w:rsidRPr="005932B0">
              <w:rPr>
                <w:rFonts w:asciiTheme="minorHAnsi" w:eastAsia="Times New Roman" w:hAnsiTheme="minorHAnsi"/>
              </w:rPr>
              <w:t>same finding type</w:t>
            </w:r>
          </w:p>
        </w:tc>
      </w:tr>
      <w:tr w:rsidR="00A0534A" w:rsidRPr="00B443FB" w14:paraId="664A576A"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6D0BF8E8" w14:textId="77777777" w:rsidR="00A0534A" w:rsidRPr="00B443FB" w:rsidRDefault="00A0534A" w:rsidP="0027134A">
            <w:pPr>
              <w:spacing w:line="240" w:lineRule="auto"/>
              <w:rPr>
                <w:rFonts w:asciiTheme="minorHAnsi" w:eastAsia="Times New Roman" w:hAnsiTheme="minorHAnsi"/>
              </w:rPr>
            </w:pPr>
            <w:r w:rsidRPr="00B443FB">
              <w:rPr>
                <w:rFonts w:asciiTheme="minorHAnsi" w:eastAsia="Times New Roman" w:hAnsiTheme="minorHAnsi"/>
              </w:rPr>
              <w:t>Lack of financial duties or material inventory</w:t>
            </w:r>
            <w:r w:rsidRPr="00B443FB">
              <w:rPr>
                <w:rFonts w:asciiTheme="minorHAnsi" w:eastAsia="Times New Roman" w:hAnsiTheme="minorHAnsi"/>
              </w:rPr>
              <w:br/>
              <w:t>segregation of duties</w:t>
            </w:r>
          </w:p>
        </w:tc>
        <w:tc>
          <w:tcPr>
            <w:tcW w:w="1237" w:type="pct"/>
            <w:tcBorders>
              <w:top w:val="outset" w:sz="6" w:space="0" w:color="000000"/>
              <w:left w:val="outset" w:sz="6" w:space="0" w:color="000000"/>
              <w:bottom w:val="outset" w:sz="6" w:space="0" w:color="000000"/>
              <w:right w:val="outset" w:sz="6" w:space="0" w:color="000000"/>
            </w:tcBorders>
            <w:hideMark/>
          </w:tcPr>
          <w:p w14:paraId="7F58C5B4" w14:textId="77777777" w:rsidR="00A0534A" w:rsidRPr="00B443FB" w:rsidRDefault="00A0534A"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1996" w:type="pct"/>
            <w:tcBorders>
              <w:top w:val="outset" w:sz="6" w:space="0" w:color="000000"/>
              <w:left w:val="outset" w:sz="6" w:space="0" w:color="000000"/>
              <w:bottom w:val="outset" w:sz="6" w:space="0" w:color="000000"/>
              <w:right w:val="outset" w:sz="6" w:space="0" w:color="000000"/>
            </w:tcBorders>
            <w:hideMark/>
          </w:tcPr>
          <w:p w14:paraId="0BA57A1D" w14:textId="77777777" w:rsidR="00A0534A" w:rsidRPr="00B443FB" w:rsidRDefault="00A0534A"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A0534A" w:rsidRPr="00B443FB" w14:paraId="51743BAD"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4D087624" w14:textId="19409847" w:rsidR="00A0534A" w:rsidRPr="00B443FB" w:rsidRDefault="00A0534A" w:rsidP="0027134A">
            <w:pPr>
              <w:spacing w:line="240" w:lineRule="auto"/>
              <w:rPr>
                <w:rFonts w:asciiTheme="minorHAnsi" w:eastAsia="Times New Roman" w:hAnsiTheme="minorHAnsi"/>
              </w:rPr>
            </w:pPr>
            <w:r w:rsidRPr="00B443FB">
              <w:rPr>
                <w:rFonts w:asciiTheme="minorHAnsi" w:eastAsia="Times New Roman" w:hAnsiTheme="minorHAnsi"/>
              </w:rPr>
              <w:t>No Cost Allocation/Not  allocating costs properly</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58A92DDA" w14:textId="77777777" w:rsidR="00A0534A" w:rsidRPr="00B443FB" w:rsidRDefault="00A0534A" w:rsidP="0027134A">
            <w:pPr>
              <w:spacing w:line="240" w:lineRule="auto"/>
              <w:rPr>
                <w:rFonts w:asciiTheme="minorHAnsi" w:eastAsia="Times New Roman" w:hAnsiTheme="minorHAnsi"/>
              </w:rPr>
            </w:pPr>
            <w:r w:rsidRPr="00B443FB">
              <w:rPr>
                <w:rFonts w:asciiTheme="minorHAnsi" w:eastAsia="Times New Roman" w:hAnsiTheme="minorHAnsi"/>
              </w:rPr>
              <w:t>Up to $500 for each</w:t>
            </w:r>
            <w:r w:rsidRPr="00B443FB">
              <w:rPr>
                <w:rFonts w:asciiTheme="minorHAnsi" w:eastAsia="Times New Roman" w:hAnsiTheme="minorHAnsi"/>
              </w:rPr>
              <w:br/>
              <w:t>instance</w:t>
            </w:r>
          </w:p>
        </w:tc>
        <w:tc>
          <w:tcPr>
            <w:tcW w:w="1996" w:type="pct"/>
            <w:tcBorders>
              <w:top w:val="outset" w:sz="6" w:space="0" w:color="000000"/>
              <w:left w:val="outset" w:sz="6" w:space="0" w:color="000000"/>
              <w:bottom w:val="outset" w:sz="6" w:space="0" w:color="000000"/>
              <w:right w:val="outset" w:sz="6" w:space="0" w:color="000000"/>
            </w:tcBorders>
            <w:hideMark/>
          </w:tcPr>
          <w:p w14:paraId="6D50D7D0" w14:textId="77777777" w:rsidR="00A0534A" w:rsidRPr="00B443FB" w:rsidRDefault="00A0534A" w:rsidP="0027134A">
            <w:pPr>
              <w:spacing w:line="240" w:lineRule="auto"/>
              <w:rPr>
                <w:rFonts w:asciiTheme="minorHAnsi" w:eastAsia="Times New Roman" w:hAnsiTheme="minorHAnsi"/>
              </w:rPr>
            </w:pPr>
            <w:r w:rsidRPr="00B443FB">
              <w:rPr>
                <w:rFonts w:asciiTheme="minorHAnsi" w:eastAsia="Times New Roman" w:hAnsiTheme="minorHAnsi"/>
              </w:rPr>
              <w:t>Up to $1,000 for each</w:t>
            </w:r>
            <w:r w:rsidRPr="00B443FB">
              <w:rPr>
                <w:rFonts w:asciiTheme="minorHAnsi" w:eastAsia="Times New Roman" w:hAnsiTheme="minorHAnsi"/>
              </w:rPr>
              <w:br/>
              <w:t>instance</w:t>
            </w:r>
          </w:p>
        </w:tc>
      </w:tr>
      <w:tr w:rsidR="00466410" w:rsidRPr="00B443FB" w14:paraId="31907E0D"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73223216" w14:textId="168F7FB9"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Violation of Conflict of Interest policies</w:t>
            </w:r>
          </w:p>
        </w:tc>
        <w:tc>
          <w:tcPr>
            <w:tcW w:w="1237" w:type="pct"/>
            <w:tcBorders>
              <w:top w:val="outset" w:sz="6" w:space="0" w:color="000000"/>
              <w:left w:val="outset" w:sz="6" w:space="0" w:color="000000"/>
              <w:bottom w:val="outset" w:sz="6" w:space="0" w:color="000000"/>
              <w:right w:val="outset" w:sz="6" w:space="0" w:color="000000"/>
            </w:tcBorders>
            <w:hideMark/>
          </w:tcPr>
          <w:p w14:paraId="01E878D2" w14:textId="1A238DF6"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1996" w:type="pct"/>
            <w:tcBorders>
              <w:top w:val="outset" w:sz="6" w:space="0" w:color="000000"/>
              <w:left w:val="outset" w:sz="6" w:space="0" w:color="000000"/>
              <w:bottom w:val="outset" w:sz="6" w:space="0" w:color="000000"/>
              <w:right w:val="outset" w:sz="6" w:space="0" w:color="000000"/>
            </w:tcBorders>
            <w:hideMark/>
          </w:tcPr>
          <w:p w14:paraId="4E6FC975" w14:textId="6109E138"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466410" w:rsidRPr="00B443FB" w14:paraId="54B02C98"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0F407C76" w14:textId="76818D5A" w:rsidR="00466410" w:rsidRPr="00B443FB" w:rsidDel="004D5CDA" w:rsidRDefault="00466410" w:rsidP="0027134A">
            <w:pPr>
              <w:spacing w:line="240" w:lineRule="auto"/>
              <w:rPr>
                <w:rFonts w:asciiTheme="minorHAnsi" w:eastAsia="Times New Roman" w:hAnsiTheme="minorHAnsi"/>
              </w:rPr>
            </w:pPr>
            <w:r w:rsidRPr="00B443FB">
              <w:rPr>
                <w:rFonts w:asciiTheme="minorHAnsi" w:eastAsia="Times New Roman" w:hAnsiTheme="minorHAnsi"/>
              </w:rPr>
              <w:t>Lack of Insurance or Fidelity Bond coverage</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37F37623" w14:textId="448E7B2B" w:rsidR="00466410" w:rsidRPr="00B443FB" w:rsidDel="004D5CDA" w:rsidRDefault="00466410" w:rsidP="0027134A">
            <w:pPr>
              <w:spacing w:line="240" w:lineRule="auto"/>
              <w:rPr>
                <w:rFonts w:asciiTheme="minorHAnsi" w:eastAsia="Times New Roman" w:hAnsiTheme="minorHAnsi"/>
              </w:rPr>
            </w:pPr>
            <w:r w:rsidRPr="00B443FB">
              <w:rPr>
                <w:rFonts w:asciiTheme="minorHAnsi" w:eastAsia="Times New Roman" w:hAnsiTheme="minorHAnsi"/>
              </w:rPr>
              <w:t xml:space="preserve">Up to $1,000 + up to $100 a day for </w:t>
            </w:r>
            <w:r w:rsidRPr="00B443FB">
              <w:rPr>
                <w:rFonts w:asciiTheme="minorHAnsi" w:eastAsia="Times New Roman" w:hAnsiTheme="minorHAnsi"/>
              </w:rPr>
              <w:br/>
              <w:t xml:space="preserve">each day not in </w:t>
            </w:r>
            <w:r w:rsidRPr="00B443FB">
              <w:rPr>
                <w:rFonts w:asciiTheme="minorHAnsi" w:eastAsia="Times New Roman" w:hAnsiTheme="minorHAnsi"/>
              </w:rPr>
              <w:br/>
              <w:t>compliance</w:t>
            </w:r>
          </w:p>
        </w:tc>
        <w:tc>
          <w:tcPr>
            <w:tcW w:w="1996" w:type="pct"/>
            <w:tcBorders>
              <w:top w:val="outset" w:sz="6" w:space="0" w:color="000000"/>
              <w:left w:val="outset" w:sz="6" w:space="0" w:color="000000"/>
              <w:bottom w:val="outset" w:sz="6" w:space="0" w:color="000000"/>
              <w:right w:val="outset" w:sz="6" w:space="0" w:color="000000"/>
            </w:tcBorders>
            <w:hideMark/>
          </w:tcPr>
          <w:p w14:paraId="1207EA32" w14:textId="18496E88" w:rsidR="00466410" w:rsidRPr="00B443FB" w:rsidDel="004D5CDA"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 up to $200 a day for each</w:t>
            </w:r>
            <w:r w:rsidRPr="00B443FB">
              <w:rPr>
                <w:rFonts w:asciiTheme="minorHAnsi" w:eastAsia="Times New Roman" w:hAnsiTheme="minorHAnsi"/>
              </w:rPr>
              <w:br/>
              <w:t>day not in</w:t>
            </w:r>
            <w:r w:rsidRPr="00B443FB">
              <w:rPr>
                <w:rFonts w:asciiTheme="minorHAnsi" w:eastAsia="Times New Roman" w:hAnsiTheme="minorHAnsi"/>
              </w:rPr>
              <w:br/>
              <w:t>compliance</w:t>
            </w:r>
          </w:p>
        </w:tc>
      </w:tr>
      <w:tr w:rsidR="00466410" w:rsidRPr="00B443FB" w14:paraId="60665EE7"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05ABB869" w14:textId="3CD10631"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 xml:space="preserve">Failure to submit Inventory Report within 45 days (end </w:t>
            </w:r>
            <w:r w:rsidRPr="00B443FB">
              <w:rPr>
                <w:rFonts w:asciiTheme="minorHAnsi" w:eastAsia="Times New Roman" w:hAnsiTheme="minorHAnsi"/>
              </w:rPr>
              <w:br/>
            </w:r>
            <w:r>
              <w:rPr>
                <w:rFonts w:asciiTheme="minorHAnsi" w:eastAsia="Times New Roman" w:hAnsiTheme="minorHAnsi"/>
              </w:rPr>
              <w:t>C</w:t>
            </w:r>
            <w:r w:rsidRPr="00B443FB">
              <w:rPr>
                <w:rFonts w:asciiTheme="minorHAnsi" w:eastAsia="Times New Roman" w:hAnsiTheme="minorHAnsi"/>
              </w:rPr>
              <w:t xml:space="preserve">ontract </w:t>
            </w:r>
            <w:r>
              <w:rPr>
                <w:rFonts w:asciiTheme="minorHAnsi" w:eastAsia="Times New Roman" w:hAnsiTheme="minorHAnsi"/>
              </w:rPr>
              <w:t>Term</w:t>
            </w:r>
            <w:r w:rsidRPr="00B443FB">
              <w:rPr>
                <w:rFonts w:asciiTheme="minorHAnsi" w:eastAsia="Times New Roman" w:hAnsiTheme="minorHAnsi"/>
              </w:rPr>
              <w:t>)</w:t>
            </w:r>
          </w:p>
        </w:tc>
        <w:tc>
          <w:tcPr>
            <w:tcW w:w="1237" w:type="pct"/>
            <w:tcBorders>
              <w:top w:val="outset" w:sz="6" w:space="0" w:color="000000"/>
              <w:left w:val="outset" w:sz="6" w:space="0" w:color="000000"/>
              <w:bottom w:val="outset" w:sz="6" w:space="0" w:color="000000"/>
              <w:right w:val="outset" w:sz="6" w:space="0" w:color="000000"/>
            </w:tcBorders>
            <w:hideMark/>
          </w:tcPr>
          <w:p w14:paraId="27CE4AEB" w14:textId="7B139658"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1996" w:type="pct"/>
            <w:tcBorders>
              <w:top w:val="outset" w:sz="6" w:space="0" w:color="000000"/>
              <w:left w:val="outset" w:sz="6" w:space="0" w:color="000000"/>
              <w:bottom w:val="outset" w:sz="6" w:space="0" w:color="000000"/>
              <w:right w:val="outset" w:sz="6" w:space="0" w:color="000000"/>
            </w:tcBorders>
            <w:hideMark/>
          </w:tcPr>
          <w:p w14:paraId="301CEABF" w14:textId="571813B3"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466410" w:rsidRPr="00B443FB" w14:paraId="3A553DB8"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5253A2A0" w14:textId="34B97308" w:rsidR="00466410" w:rsidRPr="00B443FB" w:rsidRDefault="00466410" w:rsidP="00A56E68">
            <w:pPr>
              <w:spacing w:line="240" w:lineRule="auto"/>
              <w:rPr>
                <w:rFonts w:asciiTheme="minorHAnsi" w:eastAsia="Times New Roman" w:hAnsiTheme="minorHAnsi"/>
              </w:rPr>
            </w:pPr>
            <w:r w:rsidRPr="00B443FB">
              <w:rPr>
                <w:rFonts w:asciiTheme="minorHAnsi" w:eastAsia="Times New Roman" w:hAnsiTheme="minorHAnsi"/>
              </w:rPr>
              <w:t>Unallowable/Unreasonable</w:t>
            </w:r>
            <w:r w:rsidRPr="00B443FB">
              <w:rPr>
                <w:rFonts w:asciiTheme="minorHAnsi" w:eastAsia="Times New Roman" w:hAnsiTheme="minorHAnsi"/>
              </w:rPr>
              <w:br/>
              <w:t>expenditure</w:t>
            </w:r>
          </w:p>
        </w:tc>
        <w:tc>
          <w:tcPr>
            <w:tcW w:w="1237" w:type="pct"/>
            <w:tcBorders>
              <w:top w:val="outset" w:sz="6" w:space="0" w:color="000000"/>
              <w:left w:val="outset" w:sz="6" w:space="0" w:color="000000"/>
              <w:bottom w:val="outset" w:sz="6" w:space="0" w:color="000000"/>
              <w:right w:val="outset" w:sz="6" w:space="0" w:color="000000"/>
            </w:tcBorders>
            <w:hideMark/>
          </w:tcPr>
          <w:p w14:paraId="6D92C4BD" w14:textId="20C2013E"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for each instance</w:t>
            </w:r>
            <w:r w:rsidRPr="00B443FB">
              <w:rPr>
                <w:rFonts w:asciiTheme="minorHAnsi" w:eastAsia="Times New Roman" w:hAnsiTheme="minorHAnsi"/>
              </w:rPr>
              <w:br/>
            </w:r>
          </w:p>
        </w:tc>
        <w:tc>
          <w:tcPr>
            <w:tcW w:w="1996" w:type="pct"/>
            <w:tcBorders>
              <w:top w:val="outset" w:sz="6" w:space="0" w:color="000000"/>
              <w:left w:val="outset" w:sz="6" w:space="0" w:color="000000"/>
              <w:bottom w:val="outset" w:sz="6" w:space="0" w:color="000000"/>
              <w:right w:val="outset" w:sz="6" w:space="0" w:color="000000"/>
            </w:tcBorders>
            <w:hideMark/>
          </w:tcPr>
          <w:p w14:paraId="32928717" w14:textId="6B5757EF"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for each instance</w:t>
            </w:r>
            <w:r w:rsidRPr="00B443FB">
              <w:rPr>
                <w:rFonts w:asciiTheme="minorHAnsi" w:eastAsia="Times New Roman" w:hAnsiTheme="minorHAnsi"/>
              </w:rPr>
              <w:br/>
            </w:r>
          </w:p>
        </w:tc>
      </w:tr>
      <w:tr w:rsidR="00466410" w:rsidRPr="00B443FB" w14:paraId="77BA72ED"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732D96CE" w14:textId="61BBB278"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Violation of Procurement</w:t>
            </w:r>
            <w:r w:rsidRPr="00B443FB">
              <w:rPr>
                <w:rFonts w:asciiTheme="minorHAnsi" w:eastAsia="Times New Roman" w:hAnsiTheme="minorHAnsi"/>
              </w:rPr>
              <w:br/>
              <w:t>Requirements</w:t>
            </w:r>
          </w:p>
        </w:tc>
        <w:tc>
          <w:tcPr>
            <w:tcW w:w="1237" w:type="pct"/>
            <w:tcBorders>
              <w:top w:val="outset" w:sz="6" w:space="0" w:color="000000"/>
              <w:left w:val="outset" w:sz="6" w:space="0" w:color="000000"/>
              <w:bottom w:val="outset" w:sz="6" w:space="0" w:color="000000"/>
              <w:right w:val="outset" w:sz="6" w:space="0" w:color="000000"/>
            </w:tcBorders>
            <w:hideMark/>
          </w:tcPr>
          <w:p w14:paraId="36FF4A4F" w14:textId="29D68789"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 xml:space="preserve">Up to $1,000 for each service or </w:t>
            </w:r>
            <w:r w:rsidRPr="00B443FB">
              <w:rPr>
                <w:rFonts w:asciiTheme="minorHAnsi" w:eastAsia="Times New Roman" w:hAnsiTheme="minorHAnsi"/>
              </w:rPr>
              <w:br/>
              <w:t>product not properly procured</w:t>
            </w:r>
            <w:r w:rsidRPr="00B443FB">
              <w:rPr>
                <w:rFonts w:asciiTheme="minorHAnsi" w:eastAsia="Times New Roman" w:hAnsiTheme="minorHAnsi"/>
              </w:rPr>
              <w:br/>
            </w:r>
          </w:p>
        </w:tc>
        <w:tc>
          <w:tcPr>
            <w:tcW w:w="1996" w:type="pct"/>
            <w:tcBorders>
              <w:top w:val="outset" w:sz="6" w:space="0" w:color="000000"/>
              <w:left w:val="outset" w:sz="6" w:space="0" w:color="000000"/>
              <w:bottom w:val="outset" w:sz="6" w:space="0" w:color="000000"/>
              <w:right w:val="outset" w:sz="6" w:space="0" w:color="000000"/>
            </w:tcBorders>
            <w:hideMark/>
          </w:tcPr>
          <w:p w14:paraId="7AD27AB5" w14:textId="5C474B0D"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for each service or</w:t>
            </w:r>
            <w:r w:rsidRPr="00B443FB">
              <w:rPr>
                <w:rFonts w:asciiTheme="minorHAnsi" w:eastAsia="Times New Roman" w:hAnsiTheme="minorHAnsi"/>
              </w:rPr>
              <w:br/>
              <w:t>product not properly procured</w:t>
            </w:r>
          </w:p>
        </w:tc>
      </w:tr>
      <w:tr w:rsidR="00466410" w:rsidRPr="00B443FB" w14:paraId="58F64467"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46D7F3FF" w14:textId="31F1ADA2"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Lack of Subcontractor contract</w:t>
            </w:r>
          </w:p>
        </w:tc>
        <w:tc>
          <w:tcPr>
            <w:tcW w:w="1237" w:type="pct"/>
            <w:tcBorders>
              <w:top w:val="outset" w:sz="6" w:space="0" w:color="000000"/>
              <w:left w:val="outset" w:sz="6" w:space="0" w:color="000000"/>
              <w:bottom w:val="outset" w:sz="6" w:space="0" w:color="000000"/>
              <w:right w:val="outset" w:sz="6" w:space="0" w:color="000000"/>
            </w:tcBorders>
            <w:hideMark/>
          </w:tcPr>
          <w:p w14:paraId="65B847E4" w14:textId="30EF0C33"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$250 for each</w:t>
            </w:r>
            <w:r w:rsidRPr="00B443FB">
              <w:rPr>
                <w:rFonts w:asciiTheme="minorHAnsi" w:eastAsia="Times New Roman" w:hAnsiTheme="minorHAnsi"/>
              </w:rPr>
              <w:br/>
              <w:t>instance</w:t>
            </w:r>
          </w:p>
        </w:tc>
        <w:tc>
          <w:tcPr>
            <w:tcW w:w="1996" w:type="pct"/>
            <w:tcBorders>
              <w:top w:val="outset" w:sz="6" w:space="0" w:color="000000"/>
              <w:left w:val="outset" w:sz="6" w:space="0" w:color="000000"/>
              <w:bottom w:val="outset" w:sz="6" w:space="0" w:color="000000"/>
              <w:right w:val="outset" w:sz="6" w:space="0" w:color="000000"/>
            </w:tcBorders>
            <w:hideMark/>
          </w:tcPr>
          <w:p w14:paraId="69AACFE4" w14:textId="54074546"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 for each</w:t>
            </w:r>
            <w:r w:rsidRPr="00B443FB">
              <w:rPr>
                <w:rFonts w:asciiTheme="minorHAnsi" w:eastAsia="Times New Roman" w:hAnsiTheme="minorHAnsi"/>
              </w:rPr>
              <w:br/>
              <w:t>instance</w:t>
            </w:r>
          </w:p>
        </w:tc>
      </w:tr>
      <w:tr w:rsidR="00466410" w:rsidRPr="00B443FB" w14:paraId="0B6F72E8"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7AAB16CE" w14:textId="3C9AAB4F"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Lack of prior approval for purchase(s)</w:t>
            </w:r>
          </w:p>
        </w:tc>
        <w:tc>
          <w:tcPr>
            <w:tcW w:w="1237" w:type="pct"/>
            <w:tcBorders>
              <w:top w:val="outset" w:sz="6" w:space="0" w:color="000000"/>
              <w:left w:val="outset" w:sz="6" w:space="0" w:color="000000"/>
              <w:bottom w:val="outset" w:sz="6" w:space="0" w:color="000000"/>
              <w:right w:val="outset" w:sz="6" w:space="0" w:color="000000"/>
            </w:tcBorders>
            <w:hideMark/>
          </w:tcPr>
          <w:p w14:paraId="1096D28D" w14:textId="74E65576"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 for each</w:t>
            </w:r>
            <w:r w:rsidRPr="00B443FB">
              <w:rPr>
                <w:rFonts w:asciiTheme="minorHAnsi" w:eastAsia="Times New Roman" w:hAnsiTheme="minorHAnsi"/>
              </w:rPr>
              <w:br/>
              <w:t>instance</w:t>
            </w:r>
          </w:p>
        </w:tc>
        <w:tc>
          <w:tcPr>
            <w:tcW w:w="1996" w:type="pct"/>
            <w:tcBorders>
              <w:top w:val="outset" w:sz="6" w:space="0" w:color="000000"/>
              <w:left w:val="outset" w:sz="6" w:space="0" w:color="000000"/>
              <w:bottom w:val="outset" w:sz="6" w:space="0" w:color="000000"/>
              <w:right w:val="outset" w:sz="6" w:space="0" w:color="000000"/>
            </w:tcBorders>
            <w:hideMark/>
          </w:tcPr>
          <w:p w14:paraId="05182C7D" w14:textId="42812307"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for each instance</w:t>
            </w:r>
            <w:r w:rsidRPr="00B443FB">
              <w:rPr>
                <w:rFonts w:asciiTheme="minorHAnsi" w:eastAsia="Times New Roman" w:hAnsiTheme="minorHAnsi"/>
              </w:rPr>
              <w:br/>
            </w:r>
          </w:p>
        </w:tc>
      </w:tr>
      <w:tr w:rsidR="00466410" w:rsidRPr="00B443FB" w14:paraId="2565EB82"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4D97EA4C" w14:textId="2CEBCEBA"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lastRenderedPageBreak/>
              <w:t>Instance of Fraud, Waste and/or Abuse</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58045267" w14:textId="13397994"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c>
          <w:tcPr>
            <w:tcW w:w="1996" w:type="pct"/>
            <w:tcBorders>
              <w:top w:val="outset" w:sz="6" w:space="0" w:color="000000"/>
              <w:left w:val="outset" w:sz="6" w:space="0" w:color="000000"/>
              <w:bottom w:val="outset" w:sz="6" w:space="0" w:color="000000"/>
              <w:right w:val="outset" w:sz="6" w:space="0" w:color="000000"/>
            </w:tcBorders>
            <w:hideMark/>
          </w:tcPr>
          <w:p w14:paraId="38DA2FBB" w14:textId="717A5BBF"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466410" w:rsidRPr="00B443FB" w14:paraId="760B918D"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52089425" w14:textId="75F51873"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 xml:space="preserve">Commingling of funds, </w:t>
            </w:r>
            <w:r w:rsidRPr="00B443FB">
              <w:rPr>
                <w:rFonts w:asciiTheme="minorHAnsi" w:eastAsia="Times New Roman" w:hAnsiTheme="minorHAnsi"/>
              </w:rPr>
              <w:br/>
              <w:t>Misapplication of funds</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2E2838F1" w14:textId="699EFB5C"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c>
          <w:tcPr>
            <w:tcW w:w="1996" w:type="pct"/>
            <w:tcBorders>
              <w:top w:val="outset" w:sz="6" w:space="0" w:color="000000"/>
              <w:left w:val="outset" w:sz="6" w:space="0" w:color="000000"/>
              <w:bottom w:val="outset" w:sz="6" w:space="0" w:color="000000"/>
              <w:right w:val="outset" w:sz="6" w:space="0" w:color="000000"/>
            </w:tcBorders>
            <w:hideMark/>
          </w:tcPr>
          <w:p w14:paraId="581D45CC" w14:textId="7E0358E0"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466410" w:rsidRPr="00B443FB" w14:paraId="0BE8DA74"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34DBC463" w14:textId="724905D2"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Failure to timely submit Audit Certification Form</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6E09CEAC" w14:textId="72E0DB4F"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$250</w:t>
            </w:r>
          </w:p>
        </w:tc>
        <w:tc>
          <w:tcPr>
            <w:tcW w:w="1996" w:type="pct"/>
            <w:tcBorders>
              <w:top w:val="outset" w:sz="6" w:space="0" w:color="000000"/>
              <w:left w:val="outset" w:sz="6" w:space="0" w:color="000000"/>
              <w:bottom w:val="outset" w:sz="6" w:space="0" w:color="000000"/>
              <w:right w:val="outset" w:sz="6" w:space="0" w:color="000000"/>
            </w:tcBorders>
            <w:hideMark/>
          </w:tcPr>
          <w:p w14:paraId="094A8BFB" w14:textId="39F53A88"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per violation</w:t>
            </w:r>
          </w:p>
        </w:tc>
      </w:tr>
      <w:tr w:rsidR="00466410" w:rsidRPr="00B443FB" w14:paraId="610EDBAD"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7F114571" w14:textId="364A7273"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Failure to timely submit Single Audit</w:t>
            </w:r>
          </w:p>
        </w:tc>
        <w:tc>
          <w:tcPr>
            <w:tcW w:w="1237" w:type="pct"/>
            <w:tcBorders>
              <w:top w:val="outset" w:sz="6" w:space="0" w:color="000000"/>
              <w:left w:val="outset" w:sz="6" w:space="0" w:color="000000"/>
              <w:bottom w:val="outset" w:sz="6" w:space="0" w:color="000000"/>
              <w:right w:val="outset" w:sz="6" w:space="0" w:color="000000"/>
            </w:tcBorders>
            <w:hideMark/>
          </w:tcPr>
          <w:p w14:paraId="54A1EDD2" w14:textId="10D081F2"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c>
          <w:tcPr>
            <w:tcW w:w="1996" w:type="pct"/>
            <w:tcBorders>
              <w:top w:val="outset" w:sz="6" w:space="0" w:color="000000"/>
              <w:left w:val="outset" w:sz="6" w:space="0" w:color="000000"/>
              <w:bottom w:val="outset" w:sz="6" w:space="0" w:color="000000"/>
              <w:right w:val="outset" w:sz="6" w:space="0" w:color="000000"/>
            </w:tcBorders>
            <w:hideMark/>
          </w:tcPr>
          <w:p w14:paraId="632D6F2C" w14:textId="21D279E4"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 xml:space="preserve">Up to $1,000 + up to $100 for each day </w:t>
            </w:r>
            <w:r w:rsidRPr="00B443FB">
              <w:rPr>
                <w:rFonts w:asciiTheme="minorHAnsi" w:eastAsia="Times New Roman" w:hAnsiTheme="minorHAnsi"/>
              </w:rPr>
              <w:br/>
              <w:t>not in compliance</w:t>
            </w:r>
            <w:r w:rsidRPr="00B443FB">
              <w:rPr>
                <w:rFonts w:asciiTheme="minorHAnsi" w:eastAsia="Times New Roman" w:hAnsiTheme="minorHAnsi"/>
              </w:rPr>
              <w:br/>
            </w:r>
          </w:p>
        </w:tc>
      </w:tr>
      <w:tr w:rsidR="00466410" w:rsidRPr="00B443FB" w14:paraId="00147B82"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120E5CE2" w14:textId="2BC56530"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Lack of providing requested</w:t>
            </w:r>
            <w:r w:rsidRPr="00B443FB">
              <w:rPr>
                <w:rFonts w:asciiTheme="minorHAnsi" w:eastAsia="Times New Roman" w:hAnsiTheme="minorHAnsi"/>
              </w:rPr>
              <w:br/>
              <w:t>documentation/item(s) for monitoring</w:t>
            </w:r>
          </w:p>
        </w:tc>
        <w:tc>
          <w:tcPr>
            <w:tcW w:w="1237" w:type="pct"/>
            <w:tcBorders>
              <w:top w:val="outset" w:sz="6" w:space="0" w:color="000000"/>
              <w:left w:val="outset" w:sz="6" w:space="0" w:color="000000"/>
              <w:bottom w:val="outset" w:sz="6" w:space="0" w:color="000000"/>
              <w:right w:val="outset" w:sz="6" w:space="0" w:color="000000"/>
            </w:tcBorders>
            <w:hideMark/>
          </w:tcPr>
          <w:p w14:paraId="4C0E0632" w14:textId="5B25144A"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 per day for each item or documentation not</w:t>
            </w:r>
            <w:r w:rsidRPr="00B443FB">
              <w:rPr>
                <w:rFonts w:asciiTheme="minorHAnsi" w:eastAsia="Times New Roman" w:hAnsiTheme="minorHAnsi"/>
              </w:rPr>
              <w:br/>
              <w:t>provided</w:t>
            </w:r>
          </w:p>
        </w:tc>
        <w:tc>
          <w:tcPr>
            <w:tcW w:w="1996" w:type="pct"/>
            <w:tcBorders>
              <w:top w:val="outset" w:sz="6" w:space="0" w:color="000000"/>
              <w:left w:val="outset" w:sz="6" w:space="0" w:color="000000"/>
              <w:bottom w:val="outset" w:sz="6" w:space="0" w:color="000000"/>
              <w:right w:val="outset" w:sz="6" w:space="0" w:color="000000"/>
            </w:tcBorders>
            <w:hideMark/>
          </w:tcPr>
          <w:p w14:paraId="51107990" w14:textId="5D89414C"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 xml:space="preserve">Up to $150 per day for each item or </w:t>
            </w:r>
            <w:r w:rsidRPr="00B443FB">
              <w:rPr>
                <w:rFonts w:asciiTheme="minorHAnsi" w:eastAsia="Times New Roman" w:hAnsiTheme="minorHAnsi"/>
              </w:rPr>
              <w:br/>
              <w:t>documentation not</w:t>
            </w:r>
            <w:r w:rsidRPr="00B443FB">
              <w:rPr>
                <w:rFonts w:asciiTheme="minorHAnsi" w:eastAsia="Times New Roman" w:hAnsiTheme="minorHAnsi"/>
              </w:rPr>
              <w:br/>
              <w:t>provided</w:t>
            </w:r>
          </w:p>
        </w:tc>
      </w:tr>
      <w:tr w:rsidR="00466410" w:rsidRPr="00B443FB" w14:paraId="717A85EC"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2CD2D6CF" w14:textId="54CEB081"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Failure to timely respond to</w:t>
            </w:r>
            <w:r w:rsidRPr="00B443FB">
              <w:rPr>
                <w:rFonts w:asciiTheme="minorHAnsi" w:eastAsia="Times New Roman" w:hAnsiTheme="minorHAnsi"/>
              </w:rPr>
              <w:br/>
              <w:t>Report/provide required</w:t>
            </w:r>
            <w:r w:rsidRPr="00B443FB">
              <w:rPr>
                <w:rFonts w:asciiTheme="minorHAnsi" w:eastAsia="Times New Roman" w:hAnsiTheme="minorHAnsi"/>
              </w:rPr>
              <w:br/>
              <w:t>correspondence</w:t>
            </w:r>
          </w:p>
        </w:tc>
        <w:tc>
          <w:tcPr>
            <w:tcW w:w="1237" w:type="pct"/>
            <w:tcBorders>
              <w:top w:val="outset" w:sz="6" w:space="0" w:color="000000"/>
              <w:left w:val="outset" w:sz="6" w:space="0" w:color="000000"/>
              <w:bottom w:val="outset" w:sz="6" w:space="0" w:color="000000"/>
              <w:right w:val="outset" w:sz="6" w:space="0" w:color="000000"/>
            </w:tcBorders>
            <w:hideMark/>
          </w:tcPr>
          <w:p w14:paraId="2F879FF7" w14:textId="3ADEF152"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 for first</w:t>
            </w:r>
            <w:r w:rsidRPr="00B443FB">
              <w:rPr>
                <w:rFonts w:asciiTheme="minorHAnsi" w:eastAsia="Times New Roman" w:hAnsiTheme="minorHAnsi"/>
              </w:rPr>
              <w:br/>
              <w:t>violation</w:t>
            </w:r>
          </w:p>
        </w:tc>
        <w:tc>
          <w:tcPr>
            <w:tcW w:w="1996" w:type="pct"/>
            <w:tcBorders>
              <w:top w:val="outset" w:sz="6" w:space="0" w:color="000000"/>
              <w:left w:val="outset" w:sz="6" w:space="0" w:color="000000"/>
              <w:bottom w:val="outset" w:sz="6" w:space="0" w:color="000000"/>
              <w:right w:val="outset" w:sz="6" w:space="0" w:color="000000"/>
            </w:tcBorders>
            <w:hideMark/>
          </w:tcPr>
          <w:p w14:paraId="011082E7" w14:textId="4F9BD4B6"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per day per violation</w:t>
            </w:r>
            <w:r w:rsidRPr="00B443FB">
              <w:rPr>
                <w:rFonts w:asciiTheme="minorHAnsi" w:eastAsia="Times New Roman" w:hAnsiTheme="minorHAnsi"/>
              </w:rPr>
              <w:br/>
            </w:r>
          </w:p>
        </w:tc>
      </w:tr>
      <w:tr w:rsidR="00466410" w:rsidRPr="00B443FB" w14:paraId="0B5A726D"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04709CCF" w14:textId="252E0BD6"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Failure to report/record program income</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6F3C69C4" w14:textId="045AE454"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 for each</w:t>
            </w:r>
            <w:r w:rsidRPr="00B443FB">
              <w:rPr>
                <w:rFonts w:asciiTheme="minorHAnsi" w:eastAsia="Times New Roman" w:hAnsiTheme="minorHAnsi"/>
              </w:rPr>
              <w:br/>
              <w:t>instance</w:t>
            </w:r>
          </w:p>
        </w:tc>
        <w:tc>
          <w:tcPr>
            <w:tcW w:w="1996" w:type="pct"/>
            <w:tcBorders>
              <w:top w:val="outset" w:sz="6" w:space="0" w:color="000000"/>
              <w:left w:val="outset" w:sz="6" w:space="0" w:color="000000"/>
              <w:bottom w:val="outset" w:sz="6" w:space="0" w:color="000000"/>
              <w:right w:val="outset" w:sz="6" w:space="0" w:color="000000"/>
            </w:tcBorders>
            <w:hideMark/>
          </w:tcPr>
          <w:p w14:paraId="7BB289B9" w14:textId="5770595B"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for each instance</w:t>
            </w:r>
            <w:r w:rsidRPr="00B443FB">
              <w:rPr>
                <w:rFonts w:asciiTheme="minorHAnsi" w:eastAsia="Times New Roman" w:hAnsiTheme="minorHAnsi"/>
              </w:rPr>
              <w:br/>
            </w:r>
          </w:p>
        </w:tc>
      </w:tr>
      <w:tr w:rsidR="00466410" w:rsidRPr="00B443FB" w14:paraId="06777697"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27E46896" w14:textId="644EDD23"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Noncompliance with record retention requirements</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008D03AF" w14:textId="7F33CC6D"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 for each</w:t>
            </w:r>
            <w:r w:rsidRPr="00B443FB">
              <w:rPr>
                <w:rFonts w:asciiTheme="minorHAnsi" w:eastAsia="Times New Roman" w:hAnsiTheme="minorHAnsi"/>
              </w:rPr>
              <w:br/>
              <w:t>instance</w:t>
            </w:r>
          </w:p>
        </w:tc>
        <w:tc>
          <w:tcPr>
            <w:tcW w:w="1996" w:type="pct"/>
            <w:tcBorders>
              <w:top w:val="outset" w:sz="6" w:space="0" w:color="000000"/>
              <w:left w:val="outset" w:sz="6" w:space="0" w:color="000000"/>
              <w:bottom w:val="outset" w:sz="6" w:space="0" w:color="000000"/>
              <w:right w:val="outset" w:sz="6" w:space="0" w:color="000000"/>
            </w:tcBorders>
            <w:hideMark/>
          </w:tcPr>
          <w:p w14:paraId="3CD30519" w14:textId="1FB5E2DC"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 xml:space="preserve">Up to $1,000 for each instance </w:t>
            </w:r>
          </w:p>
        </w:tc>
      </w:tr>
      <w:tr w:rsidR="00466410" w:rsidRPr="00B443FB" w14:paraId="1FB9D8C1"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300D2A04" w14:textId="128EDFC0"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Providing assistance to income or SAVE ineligible</w:t>
            </w:r>
            <w:r w:rsidRPr="00B443FB">
              <w:rPr>
                <w:rFonts w:asciiTheme="minorHAnsi" w:eastAsia="Times New Roman" w:hAnsiTheme="minorHAnsi"/>
              </w:rPr>
              <w:br/>
              <w:t>applicants</w:t>
            </w:r>
          </w:p>
        </w:tc>
        <w:tc>
          <w:tcPr>
            <w:tcW w:w="1237" w:type="pct"/>
            <w:tcBorders>
              <w:top w:val="outset" w:sz="6" w:space="0" w:color="000000"/>
              <w:left w:val="outset" w:sz="6" w:space="0" w:color="000000"/>
              <w:bottom w:val="outset" w:sz="6" w:space="0" w:color="000000"/>
              <w:right w:val="outset" w:sz="6" w:space="0" w:color="000000"/>
            </w:tcBorders>
            <w:hideMark/>
          </w:tcPr>
          <w:p w14:paraId="0411A6E9" w14:textId="1091ABCD"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 for each</w:t>
            </w:r>
            <w:r w:rsidRPr="00B443FB">
              <w:rPr>
                <w:rFonts w:asciiTheme="minorHAnsi" w:eastAsia="Times New Roman" w:hAnsiTheme="minorHAnsi"/>
              </w:rPr>
              <w:br/>
              <w:t>instance</w:t>
            </w:r>
          </w:p>
        </w:tc>
        <w:tc>
          <w:tcPr>
            <w:tcW w:w="1996" w:type="pct"/>
            <w:tcBorders>
              <w:top w:val="outset" w:sz="6" w:space="0" w:color="000000"/>
              <w:left w:val="outset" w:sz="6" w:space="0" w:color="000000"/>
              <w:bottom w:val="outset" w:sz="6" w:space="0" w:color="000000"/>
              <w:right w:val="outset" w:sz="6" w:space="0" w:color="000000"/>
            </w:tcBorders>
            <w:hideMark/>
          </w:tcPr>
          <w:p w14:paraId="343CE8C0" w14:textId="0D08DE71"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for each instance</w:t>
            </w:r>
            <w:r w:rsidRPr="00B443FB">
              <w:rPr>
                <w:rFonts w:asciiTheme="minorHAnsi" w:eastAsia="Times New Roman" w:hAnsiTheme="minorHAnsi"/>
              </w:rPr>
              <w:br/>
            </w:r>
          </w:p>
        </w:tc>
      </w:tr>
      <w:tr w:rsidR="00466410" w:rsidRPr="00B443FB" w14:paraId="19418F11"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37BD3722" w14:textId="45DE486E"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Service provided to clients not according to poverty</w:t>
            </w:r>
            <w:r w:rsidRPr="00B443FB">
              <w:rPr>
                <w:rFonts w:asciiTheme="minorHAnsi" w:eastAsia="Times New Roman" w:hAnsiTheme="minorHAnsi"/>
              </w:rPr>
              <w:br/>
              <w:t>population makeup</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70F8F714" w14:textId="7CE0E17F"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1996" w:type="pct"/>
            <w:tcBorders>
              <w:top w:val="outset" w:sz="6" w:space="0" w:color="000000"/>
              <w:left w:val="outset" w:sz="6" w:space="0" w:color="000000"/>
              <w:bottom w:val="outset" w:sz="6" w:space="0" w:color="000000"/>
              <w:right w:val="outset" w:sz="6" w:space="0" w:color="000000"/>
            </w:tcBorders>
            <w:hideMark/>
          </w:tcPr>
          <w:p w14:paraId="1A2BB167" w14:textId="281BF20B"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466410" w:rsidRPr="00B443FB" w14:paraId="3F43DC29"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031A4011" w14:textId="434DAF45"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Failure to meet Tri-Partite Board Requirements</w:t>
            </w:r>
          </w:p>
        </w:tc>
        <w:tc>
          <w:tcPr>
            <w:tcW w:w="1237" w:type="pct"/>
            <w:tcBorders>
              <w:top w:val="outset" w:sz="6" w:space="0" w:color="000000"/>
              <w:left w:val="outset" w:sz="6" w:space="0" w:color="000000"/>
              <w:bottom w:val="outset" w:sz="6" w:space="0" w:color="000000"/>
              <w:right w:val="outset" w:sz="6" w:space="0" w:color="000000"/>
            </w:tcBorders>
            <w:hideMark/>
          </w:tcPr>
          <w:p w14:paraId="21188B31" w14:textId="2518E209"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 xml:space="preserve">Up to $1,000 + up to $100 for each </w:t>
            </w:r>
            <w:r w:rsidRPr="00B443FB">
              <w:rPr>
                <w:rFonts w:asciiTheme="minorHAnsi" w:eastAsia="Times New Roman" w:hAnsiTheme="minorHAnsi"/>
              </w:rPr>
              <w:br/>
              <w:t>the entity failed to</w:t>
            </w:r>
            <w:r w:rsidRPr="00B443FB">
              <w:rPr>
                <w:rFonts w:asciiTheme="minorHAnsi" w:eastAsia="Times New Roman" w:hAnsiTheme="minorHAnsi"/>
              </w:rPr>
              <w:br/>
              <w:t>comply</w:t>
            </w:r>
          </w:p>
        </w:tc>
        <w:tc>
          <w:tcPr>
            <w:tcW w:w="1996" w:type="pct"/>
            <w:tcBorders>
              <w:top w:val="outset" w:sz="6" w:space="0" w:color="000000"/>
              <w:left w:val="outset" w:sz="6" w:space="0" w:color="000000"/>
              <w:bottom w:val="outset" w:sz="6" w:space="0" w:color="000000"/>
              <w:right w:val="outset" w:sz="6" w:space="0" w:color="000000"/>
            </w:tcBorders>
            <w:hideMark/>
          </w:tcPr>
          <w:p w14:paraId="45A0A76D" w14:textId="254C3E15"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 xml:space="preserve">Up to $1,000 + up to $250 for each day </w:t>
            </w:r>
            <w:r w:rsidRPr="00B443FB">
              <w:rPr>
                <w:rFonts w:asciiTheme="minorHAnsi" w:eastAsia="Times New Roman" w:hAnsiTheme="minorHAnsi"/>
              </w:rPr>
              <w:br/>
              <w:t>the entity failed to</w:t>
            </w:r>
            <w:r w:rsidRPr="00B443FB">
              <w:rPr>
                <w:rFonts w:asciiTheme="minorHAnsi" w:eastAsia="Times New Roman" w:hAnsiTheme="minorHAnsi"/>
              </w:rPr>
              <w:br/>
              <w:t>comply</w:t>
            </w:r>
          </w:p>
        </w:tc>
      </w:tr>
      <w:tr w:rsidR="00466410" w:rsidRPr="00B443FB" w14:paraId="32100DA0"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2961E963" w14:textId="2218190A"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Failure to comply with Department minimum</w:t>
            </w:r>
            <w:r w:rsidRPr="00B443FB">
              <w:rPr>
                <w:rFonts w:asciiTheme="minorHAnsi" w:eastAsia="Times New Roman" w:hAnsiTheme="minorHAnsi"/>
              </w:rPr>
              <w:br/>
              <w:t>applicant/client denials and appeals</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2C43424C" w14:textId="42799CD8"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$250 for each</w:t>
            </w:r>
            <w:r w:rsidRPr="00B443FB">
              <w:rPr>
                <w:rFonts w:asciiTheme="minorHAnsi" w:eastAsia="Times New Roman" w:hAnsiTheme="minorHAnsi"/>
              </w:rPr>
              <w:br/>
              <w:t>instance</w:t>
            </w:r>
          </w:p>
        </w:tc>
        <w:tc>
          <w:tcPr>
            <w:tcW w:w="1996" w:type="pct"/>
            <w:tcBorders>
              <w:top w:val="outset" w:sz="6" w:space="0" w:color="000000"/>
              <w:left w:val="outset" w:sz="6" w:space="0" w:color="000000"/>
              <w:bottom w:val="outset" w:sz="6" w:space="0" w:color="000000"/>
              <w:right w:val="outset" w:sz="6" w:space="0" w:color="000000"/>
            </w:tcBorders>
            <w:hideMark/>
          </w:tcPr>
          <w:p w14:paraId="2B533474" w14:textId="0BC5DBAC"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 for each instance</w:t>
            </w:r>
          </w:p>
        </w:tc>
      </w:tr>
      <w:tr w:rsidR="00466410" w:rsidRPr="00B443FB" w14:paraId="294E4A37"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2CE7718B" w14:textId="64129812"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lastRenderedPageBreak/>
              <w:t>Failure to Prioritize applicants</w:t>
            </w:r>
          </w:p>
        </w:tc>
        <w:tc>
          <w:tcPr>
            <w:tcW w:w="1237" w:type="pct"/>
            <w:tcBorders>
              <w:top w:val="outset" w:sz="6" w:space="0" w:color="000000"/>
              <w:left w:val="outset" w:sz="6" w:space="0" w:color="000000"/>
              <w:bottom w:val="outset" w:sz="6" w:space="0" w:color="000000"/>
              <w:right w:val="outset" w:sz="6" w:space="0" w:color="000000"/>
            </w:tcBorders>
            <w:hideMark/>
          </w:tcPr>
          <w:p w14:paraId="45FBA0BC" w14:textId="783A16C8"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$250 for each</w:t>
            </w:r>
            <w:r w:rsidRPr="00B443FB">
              <w:rPr>
                <w:rFonts w:asciiTheme="minorHAnsi" w:eastAsia="Times New Roman" w:hAnsiTheme="minorHAnsi"/>
              </w:rPr>
              <w:br/>
              <w:t>instance</w:t>
            </w:r>
          </w:p>
        </w:tc>
        <w:tc>
          <w:tcPr>
            <w:tcW w:w="1996" w:type="pct"/>
            <w:tcBorders>
              <w:top w:val="outset" w:sz="6" w:space="0" w:color="000000"/>
              <w:left w:val="outset" w:sz="6" w:space="0" w:color="000000"/>
              <w:bottom w:val="outset" w:sz="6" w:space="0" w:color="000000"/>
              <w:right w:val="outset" w:sz="6" w:space="0" w:color="000000"/>
            </w:tcBorders>
            <w:hideMark/>
          </w:tcPr>
          <w:p w14:paraId="615231D3" w14:textId="08CFD193"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 for each instance</w:t>
            </w:r>
          </w:p>
        </w:tc>
      </w:tr>
      <w:tr w:rsidR="00466410" w:rsidRPr="00B443FB" w14:paraId="3785BCE3"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3B81DC4C" w14:textId="65BAD617"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Failure to complete or to properly complete required</w:t>
            </w:r>
            <w:r w:rsidRPr="00B443FB">
              <w:rPr>
                <w:rFonts w:asciiTheme="minorHAnsi" w:eastAsia="Times New Roman" w:hAnsiTheme="minorHAnsi"/>
              </w:rPr>
              <w:br/>
              <w:t>program documents</w:t>
            </w:r>
          </w:p>
        </w:tc>
        <w:tc>
          <w:tcPr>
            <w:tcW w:w="1237" w:type="pct"/>
            <w:tcBorders>
              <w:top w:val="outset" w:sz="6" w:space="0" w:color="000000"/>
              <w:left w:val="outset" w:sz="6" w:space="0" w:color="000000"/>
              <w:bottom w:val="outset" w:sz="6" w:space="0" w:color="000000"/>
              <w:right w:val="outset" w:sz="6" w:space="0" w:color="000000"/>
            </w:tcBorders>
            <w:hideMark/>
          </w:tcPr>
          <w:p w14:paraId="7FED31E9" w14:textId="572E385C"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$250 for each</w:t>
            </w:r>
            <w:r w:rsidRPr="00B443FB">
              <w:rPr>
                <w:rFonts w:asciiTheme="minorHAnsi" w:eastAsia="Times New Roman" w:hAnsiTheme="minorHAnsi"/>
              </w:rPr>
              <w:br/>
              <w:t>instance</w:t>
            </w:r>
          </w:p>
        </w:tc>
        <w:tc>
          <w:tcPr>
            <w:tcW w:w="1996" w:type="pct"/>
            <w:tcBorders>
              <w:top w:val="outset" w:sz="6" w:space="0" w:color="000000"/>
              <w:left w:val="outset" w:sz="6" w:space="0" w:color="000000"/>
              <w:bottom w:val="outset" w:sz="6" w:space="0" w:color="000000"/>
              <w:right w:val="outset" w:sz="6" w:space="0" w:color="000000"/>
            </w:tcBorders>
            <w:hideMark/>
          </w:tcPr>
          <w:p w14:paraId="49A0C3D6" w14:textId="41983686"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$750 for each instance</w:t>
            </w:r>
          </w:p>
        </w:tc>
      </w:tr>
      <w:tr w:rsidR="00466410" w:rsidRPr="00B443FB" w14:paraId="63322D4C"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20AC29A2" w14:textId="013399DE"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Payment to Vendor without a Vendor Agreement</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07C5E52D" w14:textId="7CEA835B"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 for each</w:t>
            </w:r>
            <w:r w:rsidRPr="00B443FB">
              <w:rPr>
                <w:rFonts w:asciiTheme="minorHAnsi" w:eastAsia="Times New Roman" w:hAnsiTheme="minorHAnsi"/>
              </w:rPr>
              <w:br/>
              <w:t>instance</w:t>
            </w:r>
          </w:p>
        </w:tc>
        <w:tc>
          <w:tcPr>
            <w:tcW w:w="1996" w:type="pct"/>
            <w:tcBorders>
              <w:top w:val="outset" w:sz="6" w:space="0" w:color="000000"/>
              <w:left w:val="outset" w:sz="6" w:space="0" w:color="000000"/>
              <w:bottom w:val="outset" w:sz="6" w:space="0" w:color="000000"/>
              <w:right w:val="outset" w:sz="6" w:space="0" w:color="000000"/>
            </w:tcBorders>
            <w:hideMark/>
          </w:tcPr>
          <w:p w14:paraId="4DF5A119" w14:textId="5C9894EE"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for each instance</w:t>
            </w:r>
            <w:r w:rsidRPr="00B443FB">
              <w:rPr>
                <w:rFonts w:asciiTheme="minorHAnsi" w:eastAsia="Times New Roman" w:hAnsiTheme="minorHAnsi"/>
              </w:rPr>
              <w:br/>
            </w:r>
          </w:p>
        </w:tc>
      </w:tr>
      <w:tr w:rsidR="00466410" w:rsidRPr="00B443FB" w14:paraId="2A90A37F"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1700A80F" w14:textId="77490225"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Failure to perform Outreach activities</w:t>
            </w:r>
          </w:p>
        </w:tc>
        <w:tc>
          <w:tcPr>
            <w:tcW w:w="1237" w:type="pct"/>
            <w:tcBorders>
              <w:top w:val="outset" w:sz="6" w:space="0" w:color="000000"/>
              <w:left w:val="outset" w:sz="6" w:space="0" w:color="000000"/>
              <w:bottom w:val="outset" w:sz="6" w:space="0" w:color="000000"/>
              <w:right w:val="outset" w:sz="6" w:space="0" w:color="000000"/>
            </w:tcBorders>
            <w:hideMark/>
          </w:tcPr>
          <w:p w14:paraId="0F3C0D10" w14:textId="3F44F19F"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1996" w:type="pct"/>
            <w:tcBorders>
              <w:top w:val="outset" w:sz="6" w:space="0" w:color="000000"/>
              <w:left w:val="outset" w:sz="6" w:space="0" w:color="000000"/>
              <w:bottom w:val="outset" w:sz="6" w:space="0" w:color="000000"/>
              <w:right w:val="outset" w:sz="6" w:space="0" w:color="000000"/>
            </w:tcBorders>
            <w:hideMark/>
          </w:tcPr>
          <w:p w14:paraId="0DCDC87A" w14:textId="4A61210F"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466410" w:rsidRPr="00B443FB" w14:paraId="774DBEC5"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09DD1B4D" w14:textId="66EFD1CE"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Weatherized unit expenditure over</w:t>
            </w:r>
            <w:r w:rsidRPr="00B443FB">
              <w:rPr>
                <w:rFonts w:asciiTheme="minorHAnsi" w:eastAsia="Times New Roman" w:hAnsiTheme="minorHAnsi"/>
              </w:rPr>
              <w:br/>
              <w:t>maximum cost per unit w/o prior approval</w:t>
            </w:r>
          </w:p>
        </w:tc>
        <w:tc>
          <w:tcPr>
            <w:tcW w:w="1237" w:type="pct"/>
            <w:tcBorders>
              <w:top w:val="outset" w:sz="6" w:space="0" w:color="000000"/>
              <w:left w:val="outset" w:sz="6" w:space="0" w:color="000000"/>
              <w:bottom w:val="outset" w:sz="6" w:space="0" w:color="000000"/>
              <w:right w:val="outset" w:sz="6" w:space="0" w:color="000000"/>
            </w:tcBorders>
            <w:hideMark/>
          </w:tcPr>
          <w:p w14:paraId="026D1C7D" w14:textId="47DC3968"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 for each</w:t>
            </w:r>
            <w:r w:rsidRPr="00B443FB">
              <w:rPr>
                <w:rFonts w:asciiTheme="minorHAnsi" w:eastAsia="Times New Roman" w:hAnsiTheme="minorHAnsi"/>
              </w:rPr>
              <w:br/>
              <w:t>instance</w:t>
            </w:r>
          </w:p>
        </w:tc>
        <w:tc>
          <w:tcPr>
            <w:tcW w:w="1996" w:type="pct"/>
            <w:tcBorders>
              <w:top w:val="outset" w:sz="6" w:space="0" w:color="000000"/>
              <w:left w:val="outset" w:sz="6" w:space="0" w:color="000000"/>
              <w:bottom w:val="outset" w:sz="6" w:space="0" w:color="000000"/>
              <w:right w:val="outset" w:sz="6" w:space="0" w:color="000000"/>
            </w:tcBorders>
            <w:hideMark/>
          </w:tcPr>
          <w:p w14:paraId="2EEA8DC6" w14:textId="33C032A7"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for each instance</w:t>
            </w:r>
            <w:r w:rsidRPr="00B443FB">
              <w:rPr>
                <w:rFonts w:asciiTheme="minorHAnsi" w:eastAsia="Times New Roman" w:hAnsiTheme="minorHAnsi"/>
              </w:rPr>
              <w:br/>
            </w:r>
          </w:p>
        </w:tc>
      </w:tr>
      <w:tr w:rsidR="00466410" w:rsidRPr="00B443FB" w14:paraId="647BC88A"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7C9C743D" w14:textId="6B95132A"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 xml:space="preserve">Failure to input </w:t>
            </w:r>
            <w:r>
              <w:rPr>
                <w:rFonts w:asciiTheme="minorHAnsi" w:eastAsia="Times New Roman" w:hAnsiTheme="minorHAnsi"/>
              </w:rPr>
              <w:t xml:space="preserve">Ending Homelessness, </w:t>
            </w:r>
            <w:r w:rsidRPr="00B443FB">
              <w:rPr>
                <w:rFonts w:asciiTheme="minorHAnsi" w:eastAsia="Times New Roman" w:hAnsiTheme="minorHAnsi"/>
              </w:rPr>
              <w:t>HHSP</w:t>
            </w:r>
            <w:r>
              <w:rPr>
                <w:rFonts w:asciiTheme="minorHAnsi" w:eastAsia="Times New Roman" w:hAnsiTheme="minorHAnsi"/>
              </w:rPr>
              <w:t>,</w:t>
            </w:r>
            <w:r w:rsidRPr="00B443FB">
              <w:rPr>
                <w:rFonts w:asciiTheme="minorHAnsi" w:eastAsia="Times New Roman" w:hAnsiTheme="minorHAnsi"/>
              </w:rPr>
              <w:t xml:space="preserve"> or ESG client data into</w:t>
            </w:r>
            <w:r w:rsidRPr="00B443FB">
              <w:rPr>
                <w:rFonts w:asciiTheme="minorHAnsi" w:eastAsia="Times New Roman" w:hAnsiTheme="minorHAnsi"/>
              </w:rPr>
              <w:br/>
              <w:t>the Homeless Management</w:t>
            </w:r>
            <w:r w:rsidRPr="00B443FB">
              <w:rPr>
                <w:rFonts w:asciiTheme="minorHAnsi" w:eastAsia="Times New Roman" w:hAnsiTheme="minorHAnsi"/>
              </w:rPr>
              <w:br/>
              <w:t>Information System</w:t>
            </w:r>
          </w:p>
        </w:tc>
        <w:tc>
          <w:tcPr>
            <w:tcW w:w="1237" w:type="pct"/>
            <w:tcBorders>
              <w:top w:val="outset" w:sz="6" w:space="0" w:color="000000"/>
              <w:left w:val="outset" w:sz="6" w:space="0" w:color="000000"/>
              <w:bottom w:val="outset" w:sz="6" w:space="0" w:color="000000"/>
              <w:right w:val="outset" w:sz="6" w:space="0" w:color="000000"/>
            </w:tcBorders>
            <w:hideMark/>
          </w:tcPr>
          <w:p w14:paraId="19243EED" w14:textId="7FA98964"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 for each</w:t>
            </w:r>
            <w:r w:rsidRPr="00B443FB">
              <w:rPr>
                <w:rFonts w:asciiTheme="minorHAnsi" w:eastAsia="Times New Roman" w:hAnsiTheme="minorHAnsi"/>
              </w:rPr>
              <w:br/>
              <w:t>instance</w:t>
            </w:r>
          </w:p>
        </w:tc>
        <w:tc>
          <w:tcPr>
            <w:tcW w:w="1996" w:type="pct"/>
            <w:tcBorders>
              <w:top w:val="outset" w:sz="6" w:space="0" w:color="000000"/>
              <w:left w:val="outset" w:sz="6" w:space="0" w:color="000000"/>
              <w:bottom w:val="outset" w:sz="6" w:space="0" w:color="000000"/>
              <w:right w:val="outset" w:sz="6" w:space="0" w:color="000000"/>
            </w:tcBorders>
            <w:hideMark/>
          </w:tcPr>
          <w:p w14:paraId="1E8EB9D4" w14:textId="3771418A"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for each</w:t>
            </w:r>
            <w:r w:rsidRPr="00B443FB">
              <w:rPr>
                <w:rFonts w:asciiTheme="minorHAnsi" w:eastAsia="Times New Roman" w:hAnsiTheme="minorHAnsi"/>
              </w:rPr>
              <w:br/>
              <w:t>instance</w:t>
            </w:r>
          </w:p>
        </w:tc>
      </w:tr>
      <w:tr w:rsidR="00466410" w:rsidRPr="00B443FB" w14:paraId="03B01898"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7BC93DC1" w14:textId="1164F7E3"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Other noncompliance with a contract requirement</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72531D55" w14:textId="6619B78A"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c>
          <w:tcPr>
            <w:tcW w:w="1996" w:type="pct"/>
            <w:tcBorders>
              <w:top w:val="outset" w:sz="6" w:space="0" w:color="000000"/>
              <w:left w:val="outset" w:sz="6" w:space="0" w:color="000000"/>
              <w:bottom w:val="outset" w:sz="6" w:space="0" w:color="000000"/>
              <w:right w:val="outset" w:sz="6" w:space="0" w:color="000000"/>
            </w:tcBorders>
            <w:hideMark/>
          </w:tcPr>
          <w:p w14:paraId="79992868" w14:textId="231CD4F2"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466410" w:rsidRPr="00B443FB" w14:paraId="02BCEB12"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15AC279C" w14:textId="493CBFE7"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Failure to comply with case</w:t>
            </w:r>
            <w:r w:rsidRPr="00B443FB">
              <w:rPr>
                <w:rFonts w:asciiTheme="minorHAnsi" w:eastAsia="Times New Roman" w:hAnsiTheme="minorHAnsi"/>
              </w:rPr>
              <w:br/>
              <w:t>management requirements</w:t>
            </w:r>
          </w:p>
        </w:tc>
        <w:tc>
          <w:tcPr>
            <w:tcW w:w="1237" w:type="pct"/>
            <w:tcBorders>
              <w:top w:val="outset" w:sz="6" w:space="0" w:color="000000"/>
              <w:left w:val="outset" w:sz="6" w:space="0" w:color="000000"/>
              <w:bottom w:val="outset" w:sz="6" w:space="0" w:color="000000"/>
              <w:right w:val="outset" w:sz="6" w:space="0" w:color="000000"/>
            </w:tcBorders>
            <w:hideMark/>
          </w:tcPr>
          <w:p w14:paraId="08783B7B" w14:textId="60BBC22D"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1996" w:type="pct"/>
            <w:tcBorders>
              <w:top w:val="outset" w:sz="6" w:space="0" w:color="000000"/>
              <w:left w:val="outset" w:sz="6" w:space="0" w:color="000000"/>
              <w:bottom w:val="outset" w:sz="6" w:space="0" w:color="000000"/>
              <w:right w:val="outset" w:sz="6" w:space="0" w:color="000000"/>
            </w:tcBorders>
            <w:hideMark/>
          </w:tcPr>
          <w:p w14:paraId="078E8CD1" w14:textId="2947EE89"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$750</w:t>
            </w:r>
          </w:p>
        </w:tc>
      </w:tr>
      <w:tr w:rsidR="00466410" w:rsidRPr="00B443FB" w14:paraId="3E17C3AF"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2492CD69" w14:textId="7C14A44E"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Noncompliance with applicable OMB or state</w:t>
            </w:r>
            <w:r w:rsidRPr="00B443FB">
              <w:rPr>
                <w:rFonts w:asciiTheme="minorHAnsi" w:eastAsia="Times New Roman" w:hAnsiTheme="minorHAnsi"/>
              </w:rPr>
              <w:br/>
              <w:t>financial management</w:t>
            </w:r>
            <w:r w:rsidRPr="00B443FB">
              <w:rPr>
                <w:rFonts w:asciiTheme="minorHAnsi" w:eastAsia="Times New Roman" w:hAnsiTheme="minorHAnsi"/>
              </w:rPr>
              <w:br/>
              <w:t>requirements</w:t>
            </w:r>
          </w:p>
        </w:tc>
        <w:tc>
          <w:tcPr>
            <w:tcW w:w="1237" w:type="pct"/>
            <w:tcBorders>
              <w:top w:val="outset" w:sz="6" w:space="0" w:color="000000"/>
              <w:left w:val="outset" w:sz="6" w:space="0" w:color="000000"/>
              <w:bottom w:val="outset" w:sz="6" w:space="0" w:color="000000"/>
              <w:right w:val="outset" w:sz="6" w:space="0" w:color="000000"/>
            </w:tcBorders>
            <w:hideMark/>
          </w:tcPr>
          <w:p w14:paraId="2EDEEDA5" w14:textId="20742B79"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1996" w:type="pct"/>
            <w:tcBorders>
              <w:top w:val="outset" w:sz="6" w:space="0" w:color="000000"/>
              <w:left w:val="outset" w:sz="6" w:space="0" w:color="000000"/>
              <w:bottom w:val="outset" w:sz="6" w:space="0" w:color="000000"/>
              <w:right w:val="outset" w:sz="6" w:space="0" w:color="000000"/>
            </w:tcBorders>
            <w:hideMark/>
          </w:tcPr>
          <w:p w14:paraId="394F9BC6" w14:textId="609B0D30"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466410" w:rsidRPr="00B443FB" w14:paraId="74447665"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30BAF8BA" w14:textId="72D2ECE2"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Noncompliance with Texas Prompt Payment Act</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0FE4BD7B" w14:textId="5F97C5F2"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1996" w:type="pct"/>
            <w:tcBorders>
              <w:top w:val="outset" w:sz="6" w:space="0" w:color="000000"/>
              <w:left w:val="outset" w:sz="6" w:space="0" w:color="000000"/>
              <w:bottom w:val="outset" w:sz="6" w:space="0" w:color="000000"/>
              <w:right w:val="outset" w:sz="6" w:space="0" w:color="000000"/>
            </w:tcBorders>
            <w:hideMark/>
          </w:tcPr>
          <w:p w14:paraId="5545DD37" w14:textId="5FFD64D7"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$750</w:t>
            </w:r>
          </w:p>
        </w:tc>
      </w:tr>
      <w:tr w:rsidR="00466410" w:rsidRPr="00B443FB" w14:paraId="13DB01B3"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017F04B8" w14:textId="37D526FA"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Noncompliance with Historical Commission</w:t>
            </w:r>
            <w:r w:rsidRPr="00B443FB">
              <w:rPr>
                <w:rFonts w:asciiTheme="minorHAnsi" w:eastAsia="Times New Roman" w:hAnsiTheme="minorHAnsi"/>
              </w:rPr>
              <w:br/>
              <w:t>requirements</w:t>
            </w:r>
          </w:p>
        </w:tc>
        <w:tc>
          <w:tcPr>
            <w:tcW w:w="1237" w:type="pct"/>
            <w:tcBorders>
              <w:top w:val="outset" w:sz="6" w:space="0" w:color="000000"/>
              <w:left w:val="outset" w:sz="6" w:space="0" w:color="000000"/>
              <w:bottom w:val="outset" w:sz="6" w:space="0" w:color="000000"/>
              <w:right w:val="outset" w:sz="6" w:space="0" w:color="000000"/>
            </w:tcBorders>
            <w:hideMark/>
          </w:tcPr>
          <w:p w14:paraId="00E4BC6C" w14:textId="7DBF58B7"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1996" w:type="pct"/>
            <w:tcBorders>
              <w:top w:val="outset" w:sz="6" w:space="0" w:color="000000"/>
              <w:left w:val="outset" w:sz="6" w:space="0" w:color="000000"/>
              <w:bottom w:val="outset" w:sz="6" w:space="0" w:color="000000"/>
              <w:right w:val="outset" w:sz="6" w:space="0" w:color="000000"/>
            </w:tcBorders>
            <w:hideMark/>
          </w:tcPr>
          <w:p w14:paraId="621D29D7" w14:textId="1F8B4554"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$750</w:t>
            </w:r>
          </w:p>
        </w:tc>
      </w:tr>
      <w:tr w:rsidR="00466410" w:rsidRPr="00B443FB" w14:paraId="7AFDFB91"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53DCDA10" w14:textId="45B9317D"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Failure to comply with Limited English Proficiency</w:t>
            </w:r>
            <w:r w:rsidRPr="00B443FB">
              <w:rPr>
                <w:rFonts w:asciiTheme="minorHAnsi" w:eastAsia="Times New Roman" w:hAnsiTheme="minorHAnsi"/>
              </w:rPr>
              <w:br/>
              <w:t xml:space="preserve">(“LEP”) policies in </w:t>
            </w:r>
            <w:r w:rsidRPr="00B443FB">
              <w:rPr>
                <w:rFonts w:asciiTheme="minorHAnsi" w:eastAsia="Times New Roman" w:hAnsiTheme="minorHAnsi"/>
              </w:rPr>
              <w:br/>
              <w:t>accordance with program rule, policy or agreement</w:t>
            </w:r>
            <w:r w:rsidRPr="00B443FB">
              <w:rPr>
                <w:rFonts w:asciiTheme="minorHAnsi" w:eastAsia="Times New Roman" w:hAnsiTheme="minorHAnsi"/>
              </w:rPr>
              <w:br/>
            </w:r>
          </w:p>
        </w:tc>
        <w:tc>
          <w:tcPr>
            <w:tcW w:w="1237" w:type="pct"/>
            <w:tcBorders>
              <w:top w:val="outset" w:sz="6" w:space="0" w:color="000000"/>
              <w:left w:val="outset" w:sz="6" w:space="0" w:color="000000"/>
              <w:bottom w:val="outset" w:sz="6" w:space="0" w:color="000000"/>
              <w:right w:val="outset" w:sz="6" w:space="0" w:color="000000"/>
            </w:tcBorders>
            <w:hideMark/>
          </w:tcPr>
          <w:p w14:paraId="5AA66DD4" w14:textId="2BF4666A"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1996" w:type="pct"/>
            <w:tcBorders>
              <w:top w:val="outset" w:sz="6" w:space="0" w:color="000000"/>
              <w:left w:val="outset" w:sz="6" w:space="0" w:color="000000"/>
              <w:bottom w:val="outset" w:sz="6" w:space="0" w:color="000000"/>
              <w:right w:val="outset" w:sz="6" w:space="0" w:color="000000"/>
            </w:tcBorders>
            <w:hideMark/>
          </w:tcPr>
          <w:p w14:paraId="3DD04BF0" w14:textId="4403913F"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466410" w:rsidRPr="00B443FB" w14:paraId="4B55D383"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7CA8F184" w14:textId="791D2BFB"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Failure to meet accessibility</w:t>
            </w:r>
            <w:r w:rsidRPr="00B443FB">
              <w:rPr>
                <w:rFonts w:asciiTheme="minorHAnsi" w:eastAsia="Times New Roman" w:hAnsiTheme="minorHAnsi"/>
              </w:rPr>
              <w:br/>
              <w:t>requirements</w:t>
            </w:r>
          </w:p>
        </w:tc>
        <w:tc>
          <w:tcPr>
            <w:tcW w:w="1237" w:type="pct"/>
            <w:tcBorders>
              <w:top w:val="outset" w:sz="6" w:space="0" w:color="000000"/>
              <w:left w:val="outset" w:sz="6" w:space="0" w:color="000000"/>
              <w:bottom w:val="outset" w:sz="6" w:space="0" w:color="000000"/>
              <w:right w:val="outset" w:sz="6" w:space="0" w:color="000000"/>
            </w:tcBorders>
            <w:hideMark/>
          </w:tcPr>
          <w:p w14:paraId="7846614A" w14:textId="342502B7"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per violation</w:t>
            </w:r>
          </w:p>
        </w:tc>
        <w:tc>
          <w:tcPr>
            <w:tcW w:w="1996" w:type="pct"/>
            <w:tcBorders>
              <w:top w:val="outset" w:sz="6" w:space="0" w:color="000000"/>
              <w:left w:val="outset" w:sz="6" w:space="0" w:color="000000"/>
              <w:bottom w:val="outset" w:sz="6" w:space="0" w:color="000000"/>
              <w:right w:val="outset" w:sz="6" w:space="0" w:color="000000"/>
            </w:tcBorders>
            <w:hideMark/>
          </w:tcPr>
          <w:p w14:paraId="3F0F5C54" w14:textId="328AB3C6"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 per violation</w:t>
            </w:r>
          </w:p>
        </w:tc>
      </w:tr>
      <w:tr w:rsidR="00466410" w:rsidRPr="00B443FB" w14:paraId="5FD28C73"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36A02FFE" w14:textId="6C766714" w:rsidR="00466410" w:rsidRPr="00B443FB" w:rsidRDefault="00466410" w:rsidP="0027134A">
            <w:pPr>
              <w:spacing w:line="240" w:lineRule="auto"/>
              <w:rPr>
                <w:rFonts w:asciiTheme="minorHAnsi" w:eastAsia="Times New Roman" w:hAnsiTheme="minorHAnsi"/>
              </w:rPr>
            </w:pPr>
            <w:r w:rsidRPr="005932B0">
              <w:rPr>
                <w:rFonts w:asciiTheme="minorHAnsi" w:eastAsia="Times New Roman" w:hAnsiTheme="minorHAnsi"/>
              </w:rPr>
              <w:lastRenderedPageBreak/>
              <w:t>Failure to submit Inventory Report within 45 days (end of contract term)</w:t>
            </w:r>
          </w:p>
        </w:tc>
        <w:tc>
          <w:tcPr>
            <w:tcW w:w="1237" w:type="pct"/>
            <w:tcBorders>
              <w:top w:val="outset" w:sz="6" w:space="0" w:color="000000"/>
              <w:left w:val="outset" w:sz="6" w:space="0" w:color="000000"/>
              <w:bottom w:val="outset" w:sz="6" w:space="0" w:color="000000"/>
              <w:right w:val="outset" w:sz="6" w:space="0" w:color="000000"/>
            </w:tcBorders>
            <w:hideMark/>
          </w:tcPr>
          <w:p w14:paraId="3A5DF03A" w14:textId="3B295695" w:rsidR="00466410" w:rsidRPr="00B443FB" w:rsidRDefault="00466410" w:rsidP="0027134A">
            <w:pPr>
              <w:spacing w:line="240" w:lineRule="auto"/>
              <w:rPr>
                <w:rFonts w:asciiTheme="minorHAnsi" w:eastAsia="Times New Roman" w:hAnsiTheme="minorHAnsi"/>
              </w:rPr>
            </w:pPr>
            <w:r w:rsidRPr="005932B0">
              <w:rPr>
                <w:rFonts w:asciiTheme="minorHAnsi" w:eastAsia="Times New Roman" w:hAnsiTheme="minorHAnsi"/>
              </w:rPr>
              <w:t>Up to $500</w:t>
            </w:r>
          </w:p>
        </w:tc>
        <w:tc>
          <w:tcPr>
            <w:tcW w:w="1996" w:type="pct"/>
            <w:tcBorders>
              <w:top w:val="outset" w:sz="6" w:space="0" w:color="000000"/>
              <w:left w:val="outset" w:sz="6" w:space="0" w:color="000000"/>
              <w:bottom w:val="outset" w:sz="6" w:space="0" w:color="000000"/>
              <w:right w:val="outset" w:sz="6" w:space="0" w:color="000000"/>
            </w:tcBorders>
            <w:hideMark/>
          </w:tcPr>
          <w:p w14:paraId="40D5A974" w14:textId="52AAEE7B" w:rsidR="00466410" w:rsidRPr="00B443FB" w:rsidRDefault="00466410" w:rsidP="0027134A">
            <w:pPr>
              <w:spacing w:line="240" w:lineRule="auto"/>
              <w:rPr>
                <w:rFonts w:asciiTheme="minorHAnsi" w:eastAsia="Times New Roman" w:hAnsiTheme="minorHAnsi"/>
              </w:rPr>
            </w:pPr>
            <w:r w:rsidRPr="005932B0">
              <w:rPr>
                <w:rFonts w:asciiTheme="minorHAnsi" w:eastAsia="Times New Roman" w:hAnsiTheme="minorHAnsi"/>
              </w:rPr>
              <w:t>Up to $1,000</w:t>
            </w:r>
          </w:p>
        </w:tc>
      </w:tr>
      <w:tr w:rsidR="00466410" w:rsidRPr="00B443FB" w14:paraId="26C83583"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2B62F24B" w14:textId="44D9DAB5" w:rsidR="00466410" w:rsidRPr="00B443FB" w:rsidRDefault="00466410" w:rsidP="0027134A">
            <w:pPr>
              <w:spacing w:line="240" w:lineRule="auto"/>
              <w:rPr>
                <w:rFonts w:asciiTheme="minorHAnsi" w:eastAsia="Times New Roman" w:hAnsiTheme="minorHAnsi"/>
              </w:rPr>
            </w:pPr>
            <w:r w:rsidRPr="005932B0">
              <w:rPr>
                <w:rFonts w:asciiTheme="minorHAnsi" w:eastAsia="Times New Roman" w:hAnsiTheme="minorHAnsi"/>
              </w:rPr>
              <w:t>Failure to timely enter into an ISPA (Information Privacy and Security Agreement)</w:t>
            </w:r>
          </w:p>
        </w:tc>
        <w:tc>
          <w:tcPr>
            <w:tcW w:w="1237" w:type="pct"/>
            <w:tcBorders>
              <w:top w:val="outset" w:sz="6" w:space="0" w:color="000000"/>
              <w:left w:val="outset" w:sz="6" w:space="0" w:color="000000"/>
              <w:bottom w:val="outset" w:sz="6" w:space="0" w:color="000000"/>
              <w:right w:val="outset" w:sz="6" w:space="0" w:color="000000"/>
            </w:tcBorders>
            <w:hideMark/>
          </w:tcPr>
          <w:p w14:paraId="721BF4B6" w14:textId="77777777" w:rsidR="00466410" w:rsidRPr="005932B0" w:rsidRDefault="00466410" w:rsidP="0027134A">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Up to $1,000 per</w:t>
            </w:r>
          </w:p>
          <w:p w14:paraId="0DF5EAE9" w14:textId="3587DA70" w:rsidR="00466410" w:rsidRPr="00B443FB" w:rsidRDefault="00466410" w:rsidP="0027134A">
            <w:pPr>
              <w:spacing w:line="240" w:lineRule="auto"/>
              <w:rPr>
                <w:rFonts w:asciiTheme="minorHAnsi" w:eastAsia="Times New Roman" w:hAnsiTheme="minorHAnsi"/>
              </w:rPr>
            </w:pPr>
            <w:r w:rsidRPr="005932B0">
              <w:rPr>
                <w:rFonts w:asciiTheme="minorHAnsi" w:eastAsia="Times New Roman" w:hAnsiTheme="minorHAnsi"/>
              </w:rPr>
              <w:t>violation</w:t>
            </w:r>
          </w:p>
        </w:tc>
        <w:tc>
          <w:tcPr>
            <w:tcW w:w="1996" w:type="pct"/>
            <w:tcBorders>
              <w:top w:val="outset" w:sz="6" w:space="0" w:color="000000"/>
              <w:left w:val="outset" w:sz="6" w:space="0" w:color="000000"/>
              <w:bottom w:val="outset" w:sz="6" w:space="0" w:color="000000"/>
              <w:right w:val="outset" w:sz="6" w:space="0" w:color="000000"/>
            </w:tcBorders>
            <w:hideMark/>
          </w:tcPr>
          <w:p w14:paraId="506B404E" w14:textId="77777777" w:rsidR="00466410" w:rsidRPr="005932B0" w:rsidRDefault="00466410" w:rsidP="0027134A">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Up to $1,000 per</w:t>
            </w:r>
          </w:p>
          <w:p w14:paraId="2E41A0F2" w14:textId="3D8EDE1B" w:rsidR="00466410" w:rsidRPr="00B443FB" w:rsidRDefault="00466410" w:rsidP="0027134A">
            <w:pPr>
              <w:spacing w:line="240" w:lineRule="auto"/>
              <w:rPr>
                <w:rFonts w:asciiTheme="minorHAnsi" w:eastAsia="Times New Roman" w:hAnsiTheme="minorHAnsi"/>
              </w:rPr>
            </w:pPr>
            <w:r w:rsidRPr="005932B0">
              <w:rPr>
                <w:rFonts w:asciiTheme="minorHAnsi" w:eastAsia="Times New Roman" w:hAnsiTheme="minorHAnsi"/>
              </w:rPr>
              <w:t>violation</w:t>
            </w:r>
          </w:p>
        </w:tc>
      </w:tr>
      <w:tr w:rsidR="00466410" w:rsidRPr="00B443FB" w14:paraId="322AD5AD"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69B9B502" w14:textId="63F18A1F" w:rsidR="00466410" w:rsidRPr="00B443FB" w:rsidRDefault="00466410" w:rsidP="00CB5E25">
            <w:pPr>
              <w:spacing w:line="240" w:lineRule="auto"/>
              <w:rPr>
                <w:rFonts w:asciiTheme="minorHAnsi" w:eastAsia="Times New Roman" w:hAnsiTheme="minorHAnsi"/>
              </w:rPr>
            </w:pPr>
            <w:r w:rsidRPr="00B443FB">
              <w:rPr>
                <w:rFonts w:asciiTheme="minorHAnsi" w:eastAsia="Times New Roman" w:hAnsiTheme="minorHAnsi"/>
              </w:rPr>
              <w:t>Failure to attend required training as required by program rule, policy or agreement</w:t>
            </w:r>
          </w:p>
        </w:tc>
        <w:tc>
          <w:tcPr>
            <w:tcW w:w="1237" w:type="pct"/>
            <w:tcBorders>
              <w:top w:val="outset" w:sz="6" w:space="0" w:color="000000"/>
              <w:left w:val="outset" w:sz="6" w:space="0" w:color="000000"/>
              <w:bottom w:val="outset" w:sz="6" w:space="0" w:color="000000"/>
              <w:right w:val="outset" w:sz="6" w:space="0" w:color="000000"/>
            </w:tcBorders>
            <w:hideMark/>
          </w:tcPr>
          <w:p w14:paraId="14620670" w14:textId="4C7F4097"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 per violation</w:t>
            </w:r>
          </w:p>
        </w:tc>
        <w:tc>
          <w:tcPr>
            <w:tcW w:w="1996" w:type="pct"/>
            <w:tcBorders>
              <w:top w:val="outset" w:sz="6" w:space="0" w:color="000000"/>
              <w:left w:val="outset" w:sz="6" w:space="0" w:color="000000"/>
              <w:bottom w:val="outset" w:sz="6" w:space="0" w:color="000000"/>
              <w:right w:val="outset" w:sz="6" w:space="0" w:color="000000"/>
            </w:tcBorders>
            <w:hideMark/>
          </w:tcPr>
          <w:p w14:paraId="0F9DC212" w14:textId="7BF9FFB9"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$200 per violation</w:t>
            </w:r>
          </w:p>
        </w:tc>
      </w:tr>
      <w:tr w:rsidR="00466410" w:rsidRPr="00B443FB" w14:paraId="2542B50B" w14:textId="77777777" w:rsidTr="00466410">
        <w:trPr>
          <w:tblCellSpacing w:w="0" w:type="dxa"/>
        </w:trPr>
        <w:tc>
          <w:tcPr>
            <w:tcW w:w="1767" w:type="pct"/>
            <w:tcBorders>
              <w:top w:val="outset" w:sz="6" w:space="0" w:color="000000"/>
              <w:left w:val="outset" w:sz="6" w:space="0" w:color="000000"/>
              <w:bottom w:val="outset" w:sz="6" w:space="0" w:color="000000"/>
              <w:right w:val="outset" w:sz="6" w:space="0" w:color="000000"/>
            </w:tcBorders>
            <w:hideMark/>
          </w:tcPr>
          <w:p w14:paraId="30541CF9" w14:textId="2C99A919"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Failure to comply with Section 3 requirements in</w:t>
            </w:r>
            <w:r w:rsidRPr="00B443FB">
              <w:rPr>
                <w:rFonts w:asciiTheme="minorHAnsi" w:eastAsia="Times New Roman" w:hAnsiTheme="minorHAnsi"/>
              </w:rPr>
              <w:br/>
              <w:t>accordance with program</w:t>
            </w:r>
            <w:r w:rsidRPr="00B443FB">
              <w:rPr>
                <w:rFonts w:asciiTheme="minorHAnsi" w:eastAsia="Times New Roman" w:hAnsiTheme="minorHAnsi"/>
              </w:rPr>
              <w:br/>
              <w:t>rule, policy</w:t>
            </w:r>
            <w:r>
              <w:rPr>
                <w:rFonts w:asciiTheme="minorHAnsi" w:eastAsia="Times New Roman" w:hAnsiTheme="minorHAnsi"/>
              </w:rPr>
              <w:t>,</w:t>
            </w:r>
            <w:r w:rsidRPr="00B443FB">
              <w:rPr>
                <w:rFonts w:asciiTheme="minorHAnsi" w:eastAsia="Times New Roman" w:hAnsiTheme="minorHAnsi"/>
              </w:rPr>
              <w:t xml:space="preserve"> or agreement</w:t>
            </w:r>
            <w:r>
              <w:rPr>
                <w:rFonts w:asciiTheme="minorHAnsi" w:eastAsia="Times New Roman" w:hAnsiTheme="minorHAnsi"/>
              </w:rPr>
              <w:t xml:space="preserve"> (ESG only)</w:t>
            </w:r>
          </w:p>
        </w:tc>
        <w:tc>
          <w:tcPr>
            <w:tcW w:w="1237" w:type="pct"/>
            <w:tcBorders>
              <w:top w:val="outset" w:sz="6" w:space="0" w:color="000000"/>
              <w:left w:val="outset" w:sz="6" w:space="0" w:color="000000"/>
              <w:bottom w:val="outset" w:sz="6" w:space="0" w:color="000000"/>
              <w:right w:val="outset" w:sz="6" w:space="0" w:color="000000"/>
            </w:tcBorders>
            <w:hideMark/>
          </w:tcPr>
          <w:p w14:paraId="25E84F1B" w14:textId="73BC3DB5"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1996" w:type="pct"/>
            <w:tcBorders>
              <w:top w:val="outset" w:sz="6" w:space="0" w:color="000000"/>
              <w:left w:val="outset" w:sz="6" w:space="0" w:color="000000"/>
              <w:bottom w:val="outset" w:sz="6" w:space="0" w:color="000000"/>
              <w:right w:val="outset" w:sz="6" w:space="0" w:color="000000"/>
            </w:tcBorders>
            <w:hideMark/>
          </w:tcPr>
          <w:p w14:paraId="5C2F7FB2" w14:textId="44B5B8E5" w:rsidR="00466410" w:rsidRPr="00B443FB" w:rsidRDefault="00466410"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bl>
    <w:p w14:paraId="63509AA0" w14:textId="77777777" w:rsidR="00A0534A" w:rsidRPr="00B443FB" w:rsidRDefault="00A0534A" w:rsidP="0027134A">
      <w:pPr>
        <w:spacing w:line="240" w:lineRule="auto"/>
        <w:rPr>
          <w:rFonts w:asciiTheme="minorHAnsi" w:hAnsiTheme="minorHAnsi" w:cstheme="minorHAnsi"/>
        </w:rPr>
      </w:pPr>
    </w:p>
    <w:p w14:paraId="111866E6" w14:textId="545192A0" w:rsidR="00890FD6" w:rsidRPr="00B443FB" w:rsidRDefault="00890FD6" w:rsidP="0027134A">
      <w:pPr>
        <w:spacing w:line="240" w:lineRule="auto"/>
        <w:rPr>
          <w:rFonts w:asciiTheme="minorHAnsi" w:eastAsia="Times New Roman" w:hAnsiTheme="minorHAnsi" w:cs="Times"/>
          <w:lang w:val="en"/>
        </w:rPr>
      </w:pPr>
      <w:r w:rsidRPr="00B443FB">
        <w:rPr>
          <w:rFonts w:asciiTheme="minorHAnsi" w:eastAsia="Times New Roman" w:hAnsiTheme="minorHAnsi" w:cs="Times"/>
          <w:lang w:val="en"/>
        </w:rPr>
        <w:t>Figure 2: 10 TAC §2.302(l)</w:t>
      </w:r>
    </w:p>
    <w:p w14:paraId="70304338" w14:textId="77777777" w:rsidR="00890FD6" w:rsidRPr="00B443FB" w:rsidRDefault="00890FD6" w:rsidP="0027134A">
      <w:pPr>
        <w:spacing w:line="240" w:lineRule="auto"/>
        <w:rPr>
          <w:rFonts w:asciiTheme="minorHAnsi" w:eastAsia="Times New Roman" w:hAnsiTheme="minorHAnsi" w:cs="Times"/>
          <w:lang w:val="en"/>
        </w:rPr>
      </w:pPr>
    </w:p>
    <w:tbl>
      <w:tblPr>
        <w:tblStyle w:val="TableGrid"/>
        <w:tblW w:w="0" w:type="auto"/>
        <w:tblLook w:val="04A0" w:firstRow="1" w:lastRow="0" w:firstColumn="1" w:lastColumn="0" w:noHBand="0" w:noVBand="1"/>
      </w:tblPr>
      <w:tblGrid>
        <w:gridCol w:w="8995"/>
      </w:tblGrid>
      <w:tr w:rsidR="00890FD6" w:rsidRPr="00B443FB" w14:paraId="502C7D6F" w14:textId="77777777" w:rsidTr="0063182F">
        <w:tc>
          <w:tcPr>
            <w:tcW w:w="8995" w:type="dxa"/>
          </w:tcPr>
          <w:p w14:paraId="068FA7FE" w14:textId="5872F1F8" w:rsidR="00890FD6" w:rsidRPr="00B443FB" w:rsidRDefault="00890FD6" w:rsidP="0027134A">
            <w:pPr>
              <w:spacing w:line="240" w:lineRule="auto"/>
              <w:rPr>
                <w:rFonts w:eastAsia="Times New Roman" w:cs="Times"/>
                <w:lang w:val="en"/>
              </w:rPr>
            </w:pPr>
            <w:r w:rsidRPr="00B443FB">
              <w:rPr>
                <w:rFonts w:eastAsia="Times New Roman" w:cs="Times"/>
                <w:lang w:val="en"/>
              </w:rPr>
              <w:t>Penalty table for Multifamily Rental Findings of Noncompliance. These are the maximum potential administrative penalty amounts possible for each finding of noncompliance. When an administrative penalty is to be considered, the matrix below must be considered in conjunction with the statutory factors at Tex. Gov’t Code §2306.042:</w:t>
            </w:r>
          </w:p>
        </w:tc>
      </w:tr>
    </w:tbl>
    <w:tbl>
      <w:tblPr>
        <w:tblW w:w="4475"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47"/>
        <w:gridCol w:w="2479"/>
        <w:gridCol w:w="3781"/>
      </w:tblGrid>
      <w:tr w:rsidR="00890FD6" w:rsidRPr="00B443FB" w14:paraId="404EDDC5"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55D4F413" w14:textId="4CB99BDF" w:rsidR="00890FD6" w:rsidRPr="00B443FB" w:rsidRDefault="00890FD6" w:rsidP="0027134A">
            <w:pPr>
              <w:spacing w:line="240" w:lineRule="auto"/>
              <w:rPr>
                <w:rFonts w:asciiTheme="minorHAnsi" w:eastAsia="Times New Roman" w:hAnsiTheme="minorHAnsi" w:cs="Times"/>
                <w:b/>
                <w:bCs/>
              </w:rPr>
            </w:pPr>
            <w:r w:rsidRPr="00B443FB">
              <w:rPr>
                <w:rFonts w:asciiTheme="minorHAnsi" w:eastAsia="Times New Roman" w:hAnsiTheme="minorHAnsi" w:cs="Times"/>
                <w:b/>
                <w:bCs/>
              </w:rPr>
              <w:t xml:space="preserve">Finding of Noncompliance </w:t>
            </w:r>
          </w:p>
        </w:tc>
        <w:tc>
          <w:tcPr>
            <w:tcW w:w="1376" w:type="pct"/>
            <w:tcBorders>
              <w:top w:val="outset" w:sz="6" w:space="0" w:color="000000"/>
              <w:left w:val="outset" w:sz="6" w:space="0" w:color="000000"/>
              <w:bottom w:val="outset" w:sz="6" w:space="0" w:color="000000"/>
              <w:right w:val="outset" w:sz="6" w:space="0" w:color="000000"/>
            </w:tcBorders>
            <w:hideMark/>
          </w:tcPr>
          <w:p w14:paraId="65A45431" w14:textId="079D9F9E" w:rsidR="00890FD6" w:rsidRPr="00B443FB" w:rsidRDefault="00890FD6" w:rsidP="0027134A">
            <w:pPr>
              <w:spacing w:line="240" w:lineRule="auto"/>
              <w:rPr>
                <w:rFonts w:asciiTheme="minorHAnsi" w:eastAsia="Times New Roman" w:hAnsiTheme="minorHAnsi" w:cs="Times"/>
                <w:b/>
                <w:bCs/>
              </w:rPr>
            </w:pPr>
            <w:r w:rsidRPr="00B443FB">
              <w:rPr>
                <w:rFonts w:asciiTheme="minorHAnsi" w:eastAsia="Times New Roman" w:hAnsiTheme="minorHAnsi" w:cs="Times"/>
                <w:b/>
                <w:bCs/>
              </w:rPr>
              <w:t xml:space="preserve">Maximum First Time </w:t>
            </w:r>
            <w:r w:rsidRPr="00B443FB">
              <w:rPr>
                <w:rFonts w:asciiTheme="minorHAnsi" w:eastAsia="Times New Roman" w:hAnsiTheme="minorHAnsi" w:cs="Times"/>
                <w:b/>
                <w:bCs/>
              </w:rPr>
              <w:br/>
              <w:t>Administrative Penalty assessment</w:t>
            </w:r>
          </w:p>
        </w:tc>
        <w:tc>
          <w:tcPr>
            <w:tcW w:w="2099" w:type="pct"/>
            <w:tcBorders>
              <w:top w:val="outset" w:sz="6" w:space="0" w:color="000000"/>
              <w:left w:val="outset" w:sz="6" w:space="0" w:color="000000"/>
              <w:bottom w:val="outset" w:sz="6" w:space="0" w:color="000000"/>
              <w:right w:val="outset" w:sz="6" w:space="0" w:color="000000"/>
            </w:tcBorders>
            <w:hideMark/>
          </w:tcPr>
          <w:p w14:paraId="6C3ECD17" w14:textId="45012F90" w:rsidR="00890FD6" w:rsidRPr="00B443FB" w:rsidRDefault="00890FD6" w:rsidP="0027134A">
            <w:pPr>
              <w:spacing w:line="240" w:lineRule="auto"/>
              <w:rPr>
                <w:rFonts w:asciiTheme="minorHAnsi" w:eastAsia="Times New Roman" w:hAnsiTheme="minorHAnsi" w:cs="Times"/>
                <w:b/>
                <w:bCs/>
              </w:rPr>
            </w:pPr>
            <w:r w:rsidRPr="00B443FB">
              <w:rPr>
                <w:rFonts w:asciiTheme="minorHAnsi" w:eastAsia="Times New Roman" w:hAnsiTheme="minorHAnsi" w:cs="Times"/>
                <w:b/>
                <w:bCs/>
              </w:rPr>
              <w:t xml:space="preserve"> Maximum Administrative Penalty Assessment for a Responsible Party that has previously paid a penalty for the same finding type</w:t>
            </w:r>
          </w:p>
        </w:tc>
      </w:tr>
      <w:tr w:rsidR="00890FD6" w:rsidRPr="00B443FB" w14:paraId="429AABC0"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2C9EB67E"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Violations of the Uniform Physical</w:t>
            </w:r>
            <w:r w:rsidRPr="00B443FB">
              <w:rPr>
                <w:rFonts w:asciiTheme="minorHAnsi" w:eastAsia="Times New Roman" w:hAnsiTheme="minorHAnsi" w:cs="Times"/>
              </w:rPr>
              <w:br/>
              <w:t>Condition Standards</w:t>
            </w:r>
          </w:p>
        </w:tc>
        <w:tc>
          <w:tcPr>
            <w:tcW w:w="1376" w:type="pct"/>
            <w:tcBorders>
              <w:top w:val="outset" w:sz="6" w:space="0" w:color="000000"/>
              <w:left w:val="outset" w:sz="6" w:space="0" w:color="000000"/>
              <w:bottom w:val="outset" w:sz="6" w:space="0" w:color="000000"/>
              <w:right w:val="outset" w:sz="6" w:space="0" w:color="000000"/>
            </w:tcBorders>
            <w:hideMark/>
          </w:tcPr>
          <w:p w14:paraId="5FCBD723"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for level 3</w:t>
            </w:r>
            <w:r w:rsidRPr="00B443FB">
              <w:rPr>
                <w:rFonts w:asciiTheme="minorHAnsi" w:eastAsia="Times New Roman" w:hAnsiTheme="minorHAnsi" w:cs="Times"/>
              </w:rPr>
              <w:br/>
              <w:t>deficiencies, up to $250</w:t>
            </w:r>
            <w:r w:rsidRPr="00B443FB">
              <w:rPr>
                <w:rFonts w:asciiTheme="minorHAnsi" w:eastAsia="Times New Roman" w:hAnsiTheme="minorHAnsi" w:cs="Times"/>
              </w:rPr>
              <w:br/>
              <w:t>for level 2 deficiencies,</w:t>
            </w:r>
            <w:r w:rsidRPr="00B443FB">
              <w:rPr>
                <w:rFonts w:asciiTheme="minorHAnsi" w:eastAsia="Times New Roman" w:hAnsiTheme="minorHAnsi" w:cs="Times"/>
              </w:rPr>
              <w:br/>
              <w:t>up to $125 for level 1</w:t>
            </w:r>
            <w:r w:rsidRPr="00B443FB">
              <w:rPr>
                <w:rFonts w:asciiTheme="minorHAnsi" w:eastAsia="Times New Roman" w:hAnsiTheme="minorHAnsi" w:cs="Times"/>
              </w:rPr>
              <w:br/>
              <w:t>deficiencies, plus an optional $100 per day if level 2 or level 3 deficiencies remain uncorrected 6 months from the corrective action deadline</w:t>
            </w:r>
          </w:p>
        </w:tc>
        <w:tc>
          <w:tcPr>
            <w:tcW w:w="2099" w:type="pct"/>
            <w:tcBorders>
              <w:top w:val="outset" w:sz="6" w:space="0" w:color="000000"/>
              <w:left w:val="outset" w:sz="6" w:space="0" w:color="000000"/>
              <w:bottom w:val="outset" w:sz="6" w:space="0" w:color="000000"/>
              <w:right w:val="outset" w:sz="6" w:space="0" w:color="000000"/>
            </w:tcBorders>
            <w:hideMark/>
          </w:tcPr>
          <w:p w14:paraId="2A0951FA"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for level 3</w:t>
            </w:r>
            <w:r w:rsidRPr="00B443FB">
              <w:rPr>
                <w:rFonts w:asciiTheme="minorHAnsi" w:eastAsia="Times New Roman" w:hAnsiTheme="minorHAnsi" w:cs="Times"/>
              </w:rPr>
              <w:br/>
              <w:t>deficiencies, up to $500 for level</w:t>
            </w:r>
            <w:r w:rsidRPr="00B443FB">
              <w:rPr>
                <w:rFonts w:asciiTheme="minorHAnsi" w:eastAsia="Times New Roman" w:hAnsiTheme="minorHAnsi" w:cs="Times"/>
              </w:rPr>
              <w:br/>
              <w:t>2 deficiencies, up to $250 for</w:t>
            </w:r>
            <w:r w:rsidRPr="00B443FB">
              <w:rPr>
                <w:rFonts w:asciiTheme="minorHAnsi" w:eastAsia="Times New Roman" w:hAnsiTheme="minorHAnsi" w:cs="Times"/>
              </w:rPr>
              <w:br/>
              <w:t xml:space="preserve">level 1 deficiencies, plus an optional $200 per day if level 2 or level 3 deficiencies remain uncorrected 6 months from the corrective action deadline </w:t>
            </w:r>
          </w:p>
        </w:tc>
      </w:tr>
      <w:tr w:rsidR="00890FD6" w:rsidRPr="00B443FB" w14:paraId="746F137A"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42BBCCFA" w14:textId="598A85DF"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Noncompliance related to Affirmative</w:t>
            </w:r>
            <w:r w:rsidRPr="00B443FB">
              <w:rPr>
                <w:rFonts w:asciiTheme="minorHAnsi" w:eastAsia="Times New Roman" w:hAnsiTheme="minorHAnsi" w:cs="Times"/>
              </w:rPr>
              <w:br/>
              <w:t>Marketing requirements described in</w:t>
            </w:r>
            <w:r w:rsidRPr="00B443FB">
              <w:rPr>
                <w:rFonts w:asciiTheme="minorHAnsi" w:eastAsia="Times New Roman" w:hAnsiTheme="minorHAnsi" w:cs="Times"/>
              </w:rPr>
              <w:br/>
              <w:t>§10.801 of this title</w:t>
            </w:r>
          </w:p>
        </w:tc>
        <w:tc>
          <w:tcPr>
            <w:tcW w:w="1376" w:type="pct"/>
            <w:tcBorders>
              <w:top w:val="outset" w:sz="6" w:space="0" w:color="000000"/>
              <w:left w:val="outset" w:sz="6" w:space="0" w:color="000000"/>
              <w:bottom w:val="outset" w:sz="6" w:space="0" w:color="000000"/>
              <w:right w:val="outset" w:sz="6" w:space="0" w:color="000000"/>
            </w:tcBorders>
            <w:hideMark/>
          </w:tcPr>
          <w:p w14:paraId="39B35FB3" w14:textId="323E9EB2"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w:t>
            </w:r>
          </w:p>
        </w:tc>
        <w:tc>
          <w:tcPr>
            <w:tcW w:w="2099" w:type="pct"/>
            <w:tcBorders>
              <w:top w:val="outset" w:sz="6" w:space="0" w:color="000000"/>
              <w:left w:val="outset" w:sz="6" w:space="0" w:color="000000"/>
              <w:bottom w:val="outset" w:sz="6" w:space="0" w:color="000000"/>
              <w:right w:val="outset" w:sz="6" w:space="0" w:color="000000"/>
            </w:tcBorders>
            <w:hideMark/>
          </w:tcPr>
          <w:p w14:paraId="316B1771" w14:textId="61B4F622"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r>
      <w:tr w:rsidR="00890FD6" w:rsidRPr="00B443FB" w14:paraId="77AF83EA"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644B2FD2"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TDHCA has received notice from HUD, the DOJ, or the </w:t>
            </w:r>
            <w:r w:rsidRPr="00B443FB">
              <w:rPr>
                <w:rFonts w:asciiTheme="minorHAnsi" w:eastAsia="Times New Roman" w:hAnsiTheme="minorHAnsi" w:cs="Times"/>
              </w:rPr>
              <w:lastRenderedPageBreak/>
              <w:t xml:space="preserve">TWC of a judgement from a court of competent jurisdiction regarding a Fair Housing Act Violation and/or reported general public use violation  </w:t>
            </w:r>
          </w:p>
        </w:tc>
        <w:tc>
          <w:tcPr>
            <w:tcW w:w="1376" w:type="pct"/>
            <w:tcBorders>
              <w:top w:val="outset" w:sz="6" w:space="0" w:color="000000"/>
              <w:left w:val="outset" w:sz="6" w:space="0" w:color="000000"/>
              <w:bottom w:val="outset" w:sz="6" w:space="0" w:color="000000"/>
              <w:right w:val="outset" w:sz="6" w:space="0" w:color="000000"/>
            </w:tcBorders>
          </w:tcPr>
          <w:p w14:paraId="337678E9"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lastRenderedPageBreak/>
              <w:t>Up to $1,000</w:t>
            </w:r>
          </w:p>
        </w:tc>
        <w:tc>
          <w:tcPr>
            <w:tcW w:w="2099" w:type="pct"/>
            <w:tcBorders>
              <w:top w:val="outset" w:sz="6" w:space="0" w:color="000000"/>
              <w:left w:val="outset" w:sz="6" w:space="0" w:color="000000"/>
              <w:bottom w:val="outset" w:sz="6" w:space="0" w:color="000000"/>
              <w:right w:val="outset" w:sz="6" w:space="0" w:color="000000"/>
            </w:tcBorders>
          </w:tcPr>
          <w:p w14:paraId="63095284"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890FD6" w:rsidRPr="00B443FB" w14:paraId="2818E13F"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2364B2C7" w14:textId="765370C8" w:rsidR="00890FD6" w:rsidRPr="00B443FB" w:rsidRDefault="00890FD6" w:rsidP="00782BDB">
            <w:pPr>
              <w:spacing w:line="240" w:lineRule="auto"/>
              <w:rPr>
                <w:rFonts w:asciiTheme="minorHAnsi" w:eastAsia="Times New Roman" w:hAnsiTheme="minorHAnsi" w:cs="Times"/>
              </w:rPr>
            </w:pPr>
            <w:r w:rsidRPr="00B443FB">
              <w:rPr>
                <w:rFonts w:asciiTheme="minorHAnsi" w:eastAsia="Times New Roman" w:hAnsiTheme="minorHAnsi" w:cs="Times"/>
              </w:rPr>
              <w:t xml:space="preserve">TDHCA has referred unresolved Fair Housing </w:t>
            </w:r>
            <w:r w:rsidR="00782BDB">
              <w:rPr>
                <w:rFonts w:asciiTheme="minorHAnsi" w:eastAsia="Times New Roman" w:hAnsiTheme="minorHAnsi" w:cs="Times"/>
              </w:rPr>
              <w:t>d</w:t>
            </w:r>
            <w:r w:rsidRPr="00B443FB">
              <w:rPr>
                <w:rFonts w:asciiTheme="minorHAnsi" w:eastAsia="Times New Roman" w:hAnsiTheme="minorHAnsi" w:cs="Times"/>
              </w:rPr>
              <w:t xml:space="preserve">esign and construction issues to the Texas workforce Commission Civil Rights division </w:t>
            </w:r>
          </w:p>
        </w:tc>
        <w:tc>
          <w:tcPr>
            <w:tcW w:w="1376" w:type="pct"/>
            <w:tcBorders>
              <w:top w:val="outset" w:sz="6" w:space="0" w:color="000000"/>
              <w:left w:val="outset" w:sz="6" w:space="0" w:color="000000"/>
              <w:bottom w:val="outset" w:sz="6" w:space="0" w:color="000000"/>
              <w:right w:val="outset" w:sz="6" w:space="0" w:color="000000"/>
            </w:tcBorders>
          </w:tcPr>
          <w:p w14:paraId="692B3F0D"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c>
          <w:tcPr>
            <w:tcW w:w="2099" w:type="pct"/>
            <w:tcBorders>
              <w:top w:val="outset" w:sz="6" w:space="0" w:color="000000"/>
              <w:left w:val="outset" w:sz="6" w:space="0" w:color="000000"/>
              <w:bottom w:val="outset" w:sz="6" w:space="0" w:color="000000"/>
              <w:right w:val="outset" w:sz="6" w:space="0" w:color="000000"/>
            </w:tcBorders>
          </w:tcPr>
          <w:p w14:paraId="3B1ECFDB"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890FD6" w:rsidRPr="00B443FB" w14:paraId="69BCE224"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5D85FBD0"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Development is not available to the</w:t>
            </w:r>
            <w:r w:rsidRPr="00B443FB">
              <w:rPr>
                <w:rFonts w:asciiTheme="minorHAnsi" w:eastAsia="Times New Roman" w:hAnsiTheme="minorHAnsi" w:cs="Times"/>
              </w:rPr>
              <w:br/>
              <w:t>general public because of leasing</w:t>
            </w:r>
            <w:r w:rsidRPr="00B443FB">
              <w:rPr>
                <w:rFonts w:asciiTheme="minorHAnsi" w:eastAsia="Times New Roman" w:hAnsiTheme="minorHAnsi" w:cs="Times"/>
              </w:rPr>
              <w:br/>
              <w:t>issues</w:t>
            </w:r>
          </w:p>
        </w:tc>
        <w:tc>
          <w:tcPr>
            <w:tcW w:w="1376" w:type="pct"/>
            <w:tcBorders>
              <w:top w:val="outset" w:sz="6" w:space="0" w:color="000000"/>
              <w:left w:val="outset" w:sz="6" w:space="0" w:color="000000"/>
              <w:bottom w:val="outset" w:sz="6" w:space="0" w:color="000000"/>
              <w:right w:val="outset" w:sz="6" w:space="0" w:color="000000"/>
            </w:tcBorders>
            <w:hideMark/>
          </w:tcPr>
          <w:p w14:paraId="781A30CD" w14:textId="7A1AA136"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 per</w:t>
            </w:r>
            <w:r w:rsidRPr="00B443FB">
              <w:rPr>
                <w:rFonts w:asciiTheme="minorHAnsi" w:eastAsia="Times New Roman" w:hAnsiTheme="minorHAnsi" w:cs="Times"/>
              </w:rPr>
              <w:br/>
              <w:t>violation</w:t>
            </w:r>
          </w:p>
        </w:tc>
        <w:tc>
          <w:tcPr>
            <w:tcW w:w="2099" w:type="pct"/>
            <w:tcBorders>
              <w:top w:val="outset" w:sz="6" w:space="0" w:color="000000"/>
              <w:left w:val="outset" w:sz="6" w:space="0" w:color="000000"/>
              <w:bottom w:val="outset" w:sz="6" w:space="0" w:color="000000"/>
              <w:right w:val="outset" w:sz="6" w:space="0" w:color="000000"/>
            </w:tcBorders>
            <w:hideMark/>
          </w:tcPr>
          <w:p w14:paraId="1FCF2B4D"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 per violation</w:t>
            </w:r>
          </w:p>
        </w:tc>
      </w:tr>
      <w:tr w:rsidR="00890FD6" w:rsidRPr="00B443FB" w14:paraId="77D67DA0"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0E3C6FA0"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Development is never expected to comply due to failure to report or allow monitoring</w:t>
            </w:r>
          </w:p>
        </w:tc>
        <w:tc>
          <w:tcPr>
            <w:tcW w:w="1376" w:type="pct"/>
            <w:tcBorders>
              <w:top w:val="outset" w:sz="6" w:space="0" w:color="000000"/>
              <w:left w:val="outset" w:sz="6" w:space="0" w:color="000000"/>
              <w:bottom w:val="outset" w:sz="6" w:space="0" w:color="000000"/>
              <w:right w:val="outset" w:sz="6" w:space="0" w:color="000000"/>
            </w:tcBorders>
          </w:tcPr>
          <w:p w14:paraId="3F92F9DC"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w:t>
            </w:r>
          </w:p>
        </w:tc>
        <w:tc>
          <w:tcPr>
            <w:tcW w:w="2099" w:type="pct"/>
            <w:tcBorders>
              <w:top w:val="outset" w:sz="6" w:space="0" w:color="000000"/>
              <w:left w:val="outset" w:sz="6" w:space="0" w:color="000000"/>
              <w:bottom w:val="outset" w:sz="6" w:space="0" w:color="000000"/>
              <w:right w:val="outset" w:sz="6" w:space="0" w:color="000000"/>
            </w:tcBorders>
          </w:tcPr>
          <w:p w14:paraId="04883143"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w:t>
            </w:r>
          </w:p>
        </w:tc>
      </w:tr>
      <w:tr w:rsidR="00890FD6" w:rsidRPr="00B443FB" w14:paraId="70F15D08"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7A9E5C5B"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Owner did not allow on-site</w:t>
            </w:r>
            <w:r w:rsidRPr="00B443FB">
              <w:rPr>
                <w:rFonts w:asciiTheme="minorHAnsi" w:eastAsia="Times New Roman" w:hAnsiTheme="minorHAnsi" w:cs="Times"/>
              </w:rPr>
              <w:br/>
              <w:t>monitoring or failed to notify residents</w:t>
            </w:r>
            <w:r w:rsidRPr="00B443FB">
              <w:rPr>
                <w:rFonts w:asciiTheme="minorHAnsi" w:eastAsia="Times New Roman" w:hAnsiTheme="minorHAnsi" w:cs="Times"/>
              </w:rPr>
              <w:br/>
              <w:t>resulting in inspection cancellation (including failure to appear for review)</w:t>
            </w:r>
          </w:p>
        </w:tc>
        <w:tc>
          <w:tcPr>
            <w:tcW w:w="1376" w:type="pct"/>
            <w:tcBorders>
              <w:top w:val="outset" w:sz="6" w:space="0" w:color="000000"/>
              <w:left w:val="outset" w:sz="6" w:space="0" w:color="000000"/>
              <w:bottom w:val="outset" w:sz="6" w:space="0" w:color="000000"/>
              <w:right w:val="outset" w:sz="6" w:space="0" w:color="000000"/>
            </w:tcBorders>
            <w:hideMark/>
          </w:tcPr>
          <w:p w14:paraId="284A0B5E"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w:t>
            </w:r>
          </w:p>
        </w:tc>
        <w:tc>
          <w:tcPr>
            <w:tcW w:w="2099" w:type="pct"/>
            <w:tcBorders>
              <w:top w:val="outset" w:sz="6" w:space="0" w:color="000000"/>
              <w:left w:val="outset" w:sz="6" w:space="0" w:color="000000"/>
              <w:bottom w:val="outset" w:sz="6" w:space="0" w:color="000000"/>
              <w:right w:val="outset" w:sz="6" w:space="0" w:color="000000"/>
            </w:tcBorders>
            <w:hideMark/>
          </w:tcPr>
          <w:p w14:paraId="3BA2D5D0"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w:t>
            </w:r>
          </w:p>
        </w:tc>
      </w:tr>
      <w:tr w:rsidR="00890FD6" w:rsidRPr="00B443FB" w14:paraId="4FBC7A6D"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768AFF41" w14:textId="6AA79EDC"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LURA not in effect </w:t>
            </w:r>
          </w:p>
        </w:tc>
        <w:tc>
          <w:tcPr>
            <w:tcW w:w="1376" w:type="pct"/>
            <w:tcBorders>
              <w:top w:val="outset" w:sz="6" w:space="0" w:color="000000"/>
              <w:left w:val="outset" w:sz="6" w:space="0" w:color="000000"/>
              <w:bottom w:val="outset" w:sz="6" w:space="0" w:color="000000"/>
              <w:right w:val="outset" w:sz="6" w:space="0" w:color="000000"/>
            </w:tcBorders>
            <w:hideMark/>
          </w:tcPr>
          <w:p w14:paraId="4D6F4A7D"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w:t>
            </w:r>
          </w:p>
        </w:tc>
        <w:tc>
          <w:tcPr>
            <w:tcW w:w="2099" w:type="pct"/>
            <w:tcBorders>
              <w:top w:val="outset" w:sz="6" w:space="0" w:color="000000"/>
              <w:left w:val="outset" w:sz="6" w:space="0" w:color="000000"/>
              <w:bottom w:val="outset" w:sz="6" w:space="0" w:color="000000"/>
              <w:right w:val="outset" w:sz="6" w:space="0" w:color="000000"/>
            </w:tcBorders>
            <w:hideMark/>
          </w:tcPr>
          <w:p w14:paraId="41896A36"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w:t>
            </w:r>
          </w:p>
        </w:tc>
      </w:tr>
      <w:tr w:rsidR="00890FD6" w:rsidRPr="00B443FB" w14:paraId="1530E189"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0CB17527"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Project failed to meet minimum set</w:t>
            </w:r>
            <w:r w:rsidRPr="00B443FB">
              <w:rPr>
                <w:rFonts w:asciiTheme="minorHAnsi" w:eastAsia="Times New Roman" w:hAnsiTheme="minorHAnsi" w:cs="Times"/>
              </w:rPr>
              <w:br/>
              <w:t>aside</w:t>
            </w:r>
          </w:p>
        </w:tc>
        <w:tc>
          <w:tcPr>
            <w:tcW w:w="1376" w:type="pct"/>
            <w:tcBorders>
              <w:top w:val="outset" w:sz="6" w:space="0" w:color="000000"/>
              <w:left w:val="outset" w:sz="6" w:space="0" w:color="000000"/>
              <w:bottom w:val="outset" w:sz="6" w:space="0" w:color="000000"/>
              <w:right w:val="outset" w:sz="6" w:space="0" w:color="000000"/>
            </w:tcBorders>
            <w:hideMark/>
          </w:tcPr>
          <w:p w14:paraId="0EE80C92"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w:t>
            </w:r>
          </w:p>
        </w:tc>
        <w:tc>
          <w:tcPr>
            <w:tcW w:w="2099" w:type="pct"/>
            <w:tcBorders>
              <w:top w:val="outset" w:sz="6" w:space="0" w:color="000000"/>
              <w:left w:val="outset" w:sz="6" w:space="0" w:color="000000"/>
              <w:bottom w:val="outset" w:sz="6" w:space="0" w:color="000000"/>
              <w:right w:val="outset" w:sz="6" w:space="0" w:color="000000"/>
            </w:tcBorders>
            <w:hideMark/>
          </w:tcPr>
          <w:p w14:paraId="773707BD"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w:t>
            </w:r>
          </w:p>
        </w:tc>
      </w:tr>
      <w:tr w:rsidR="00890FD6" w:rsidRPr="00B443FB" w14:paraId="3D669435"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0F4912A0" w14:textId="3B863CB5"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No evidence of, or failure to certify to</w:t>
            </w:r>
            <w:r w:rsidRPr="00B443FB">
              <w:rPr>
                <w:rFonts w:asciiTheme="minorHAnsi" w:eastAsia="Times New Roman" w:hAnsiTheme="minorHAnsi" w:cs="Times"/>
              </w:rPr>
              <w:br/>
              <w:t>material participation and/or ownership by a non-profit</w:t>
            </w:r>
            <w:r w:rsidRPr="00B443FB">
              <w:rPr>
                <w:rFonts w:asciiTheme="minorHAnsi" w:eastAsia="Times New Roman" w:hAnsiTheme="minorHAnsi" w:cs="Times"/>
              </w:rPr>
              <w:br/>
              <w:t>or HUB, if required by LURA</w:t>
            </w:r>
          </w:p>
        </w:tc>
        <w:tc>
          <w:tcPr>
            <w:tcW w:w="1376" w:type="pct"/>
            <w:tcBorders>
              <w:top w:val="outset" w:sz="6" w:space="0" w:color="000000"/>
              <w:left w:val="outset" w:sz="6" w:space="0" w:color="000000"/>
              <w:bottom w:val="outset" w:sz="6" w:space="0" w:color="000000"/>
              <w:right w:val="outset" w:sz="6" w:space="0" w:color="000000"/>
            </w:tcBorders>
            <w:hideMark/>
          </w:tcPr>
          <w:p w14:paraId="015C2D0A" w14:textId="27D3BCFA"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Up to $750 </w:t>
            </w:r>
          </w:p>
        </w:tc>
        <w:tc>
          <w:tcPr>
            <w:tcW w:w="2099" w:type="pct"/>
            <w:tcBorders>
              <w:top w:val="outset" w:sz="6" w:space="0" w:color="000000"/>
              <w:left w:val="outset" w:sz="6" w:space="0" w:color="000000"/>
              <w:bottom w:val="outset" w:sz="6" w:space="0" w:color="000000"/>
              <w:right w:val="outset" w:sz="6" w:space="0" w:color="000000"/>
            </w:tcBorders>
            <w:hideMark/>
          </w:tcPr>
          <w:p w14:paraId="483892DA" w14:textId="010598C4"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Up to $1,000 </w:t>
            </w:r>
          </w:p>
        </w:tc>
      </w:tr>
      <w:tr w:rsidR="00890FD6" w:rsidRPr="00B443FB" w14:paraId="0431AF89"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2350807C"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Development failed to meet additional</w:t>
            </w:r>
            <w:r w:rsidRPr="00B443FB">
              <w:rPr>
                <w:rFonts w:asciiTheme="minorHAnsi" w:eastAsia="Times New Roman" w:hAnsiTheme="minorHAnsi" w:cs="Times"/>
              </w:rPr>
              <w:br/>
              <w:t xml:space="preserve">state required rent and </w:t>
            </w:r>
            <w:r w:rsidRPr="00B443FB">
              <w:rPr>
                <w:rFonts w:asciiTheme="minorHAnsi" w:eastAsia="Times New Roman" w:hAnsiTheme="minorHAnsi" w:cs="Times"/>
              </w:rPr>
              <w:lastRenderedPageBreak/>
              <w:t>occupancy</w:t>
            </w:r>
            <w:r w:rsidRPr="00B443FB">
              <w:rPr>
                <w:rFonts w:asciiTheme="minorHAnsi" w:eastAsia="Times New Roman" w:hAnsiTheme="minorHAnsi" w:cs="Times"/>
              </w:rPr>
              <w:br/>
              <w:t>restrictions</w:t>
            </w:r>
          </w:p>
        </w:tc>
        <w:tc>
          <w:tcPr>
            <w:tcW w:w="1376" w:type="pct"/>
            <w:tcBorders>
              <w:top w:val="outset" w:sz="6" w:space="0" w:color="000000"/>
              <w:left w:val="outset" w:sz="6" w:space="0" w:color="000000"/>
              <w:bottom w:val="outset" w:sz="6" w:space="0" w:color="000000"/>
              <w:right w:val="outset" w:sz="6" w:space="0" w:color="000000"/>
            </w:tcBorders>
            <w:hideMark/>
          </w:tcPr>
          <w:p w14:paraId="625DD69B"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lastRenderedPageBreak/>
              <w:t>Up to $250 per day per</w:t>
            </w:r>
            <w:r w:rsidRPr="00B443FB">
              <w:rPr>
                <w:rFonts w:asciiTheme="minorHAnsi" w:eastAsia="Times New Roman" w:hAnsiTheme="minorHAnsi" w:cs="Times"/>
              </w:rPr>
              <w:br/>
              <w:t>violation</w:t>
            </w:r>
          </w:p>
        </w:tc>
        <w:tc>
          <w:tcPr>
            <w:tcW w:w="2099" w:type="pct"/>
            <w:tcBorders>
              <w:top w:val="outset" w:sz="6" w:space="0" w:color="000000"/>
              <w:left w:val="outset" w:sz="6" w:space="0" w:color="000000"/>
              <w:bottom w:val="outset" w:sz="6" w:space="0" w:color="000000"/>
              <w:right w:val="outset" w:sz="6" w:space="0" w:color="000000"/>
            </w:tcBorders>
            <w:hideMark/>
          </w:tcPr>
          <w:p w14:paraId="44FEF60A"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per day per violation</w:t>
            </w:r>
          </w:p>
        </w:tc>
      </w:tr>
      <w:tr w:rsidR="00890FD6" w:rsidRPr="00B443FB" w14:paraId="52C3A5E8"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0127BC57"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Noncompliance with social service</w:t>
            </w:r>
            <w:r w:rsidRPr="00B443FB">
              <w:rPr>
                <w:rFonts w:asciiTheme="minorHAnsi" w:eastAsia="Times New Roman" w:hAnsiTheme="minorHAnsi" w:cs="Times"/>
              </w:rPr>
              <w:br/>
              <w:t>requirements (provision of services)</w:t>
            </w:r>
          </w:p>
        </w:tc>
        <w:tc>
          <w:tcPr>
            <w:tcW w:w="1376" w:type="pct"/>
            <w:tcBorders>
              <w:top w:val="outset" w:sz="6" w:space="0" w:color="000000"/>
              <w:left w:val="outset" w:sz="6" w:space="0" w:color="000000"/>
              <w:bottom w:val="outset" w:sz="6" w:space="0" w:color="000000"/>
              <w:right w:val="outset" w:sz="6" w:space="0" w:color="000000"/>
            </w:tcBorders>
            <w:hideMark/>
          </w:tcPr>
          <w:p w14:paraId="6C711777" w14:textId="4EC257CA"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 per violation, with each required service considered a separate violation</w:t>
            </w:r>
          </w:p>
        </w:tc>
        <w:tc>
          <w:tcPr>
            <w:tcW w:w="2099" w:type="pct"/>
            <w:tcBorders>
              <w:top w:val="outset" w:sz="6" w:space="0" w:color="000000"/>
              <w:left w:val="outset" w:sz="6" w:space="0" w:color="000000"/>
              <w:bottom w:val="outset" w:sz="6" w:space="0" w:color="000000"/>
              <w:right w:val="outset" w:sz="6" w:space="0" w:color="000000"/>
            </w:tcBorders>
            <w:hideMark/>
          </w:tcPr>
          <w:p w14:paraId="499E2379" w14:textId="10AED041"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per violation, with each required service considered a separate violation</w:t>
            </w:r>
          </w:p>
        </w:tc>
      </w:tr>
      <w:tr w:rsidR="00890FD6" w:rsidRPr="00B443FB" w14:paraId="5A78A7C7"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36C0A407"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Noncompliance with social service requirements (expenditure amounts)</w:t>
            </w:r>
          </w:p>
        </w:tc>
        <w:tc>
          <w:tcPr>
            <w:tcW w:w="1376" w:type="pct"/>
            <w:tcBorders>
              <w:top w:val="outset" w:sz="6" w:space="0" w:color="000000"/>
              <w:left w:val="outset" w:sz="6" w:space="0" w:color="000000"/>
              <w:bottom w:val="outset" w:sz="6" w:space="0" w:color="000000"/>
              <w:right w:val="outset" w:sz="6" w:space="0" w:color="000000"/>
            </w:tcBorders>
          </w:tcPr>
          <w:p w14:paraId="176165DB"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Double the monthly expenditure deficiency, up to a maximum of $1,000 per day </w:t>
            </w:r>
          </w:p>
        </w:tc>
        <w:tc>
          <w:tcPr>
            <w:tcW w:w="2099" w:type="pct"/>
            <w:tcBorders>
              <w:top w:val="outset" w:sz="6" w:space="0" w:color="000000"/>
              <w:left w:val="outset" w:sz="6" w:space="0" w:color="000000"/>
              <w:bottom w:val="outset" w:sz="6" w:space="0" w:color="000000"/>
              <w:right w:val="outset" w:sz="6" w:space="0" w:color="000000"/>
            </w:tcBorders>
          </w:tcPr>
          <w:p w14:paraId="0E8D36B6"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Triple the monthly expenditure deficiency, up to a maximum of $1,000 per day.</w:t>
            </w:r>
          </w:p>
        </w:tc>
      </w:tr>
      <w:tr w:rsidR="00890FD6" w:rsidRPr="00B443FB" w14:paraId="187BF17F"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61C957F4"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Development failed to provide</w:t>
            </w:r>
            <w:r w:rsidRPr="00B443FB">
              <w:rPr>
                <w:rFonts w:asciiTheme="minorHAnsi" w:eastAsia="Times New Roman" w:hAnsiTheme="minorHAnsi" w:cs="Times"/>
              </w:rPr>
              <w:br/>
              <w:t>housing to the elderly as promised at</w:t>
            </w:r>
            <w:r w:rsidRPr="00B443FB">
              <w:rPr>
                <w:rFonts w:asciiTheme="minorHAnsi" w:eastAsia="Times New Roman" w:hAnsiTheme="minorHAnsi" w:cs="Times"/>
              </w:rPr>
              <w:br/>
              <w:t>application</w:t>
            </w:r>
          </w:p>
        </w:tc>
        <w:tc>
          <w:tcPr>
            <w:tcW w:w="1376" w:type="pct"/>
            <w:tcBorders>
              <w:top w:val="outset" w:sz="6" w:space="0" w:color="000000"/>
              <w:left w:val="outset" w:sz="6" w:space="0" w:color="000000"/>
              <w:bottom w:val="outset" w:sz="6" w:space="0" w:color="000000"/>
              <w:right w:val="outset" w:sz="6" w:space="0" w:color="000000"/>
            </w:tcBorders>
            <w:hideMark/>
          </w:tcPr>
          <w:p w14:paraId="0440239B"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$5 per day per</w:t>
            </w:r>
            <w:r w:rsidRPr="00B443FB">
              <w:rPr>
                <w:rFonts w:asciiTheme="minorHAnsi" w:eastAsia="Times New Roman" w:hAnsiTheme="minorHAnsi" w:cs="Times"/>
              </w:rPr>
              <w:br/>
              <w:t>violation</w:t>
            </w:r>
          </w:p>
        </w:tc>
        <w:tc>
          <w:tcPr>
            <w:tcW w:w="2099" w:type="pct"/>
            <w:tcBorders>
              <w:top w:val="outset" w:sz="6" w:space="0" w:color="000000"/>
              <w:left w:val="outset" w:sz="6" w:space="0" w:color="000000"/>
              <w:bottom w:val="outset" w:sz="6" w:space="0" w:color="000000"/>
              <w:right w:val="outset" w:sz="6" w:space="0" w:color="000000"/>
            </w:tcBorders>
            <w:hideMark/>
          </w:tcPr>
          <w:p w14:paraId="2BA29D5E"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 per day per violation</w:t>
            </w:r>
          </w:p>
        </w:tc>
      </w:tr>
      <w:tr w:rsidR="00890FD6" w:rsidRPr="00B443FB" w14:paraId="3E043F59"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65EC6083"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provide special needs</w:t>
            </w:r>
            <w:r w:rsidRPr="00B443FB">
              <w:rPr>
                <w:rFonts w:asciiTheme="minorHAnsi" w:eastAsia="Times New Roman" w:hAnsiTheme="minorHAnsi" w:cs="Times"/>
              </w:rPr>
              <w:br/>
              <w:t>housing as required by LURA</w:t>
            </w:r>
          </w:p>
        </w:tc>
        <w:tc>
          <w:tcPr>
            <w:tcW w:w="1376" w:type="pct"/>
            <w:tcBorders>
              <w:top w:val="outset" w:sz="6" w:space="0" w:color="000000"/>
              <w:left w:val="outset" w:sz="6" w:space="0" w:color="000000"/>
              <w:bottom w:val="outset" w:sz="6" w:space="0" w:color="000000"/>
              <w:right w:val="outset" w:sz="6" w:space="0" w:color="000000"/>
            </w:tcBorders>
            <w:hideMark/>
          </w:tcPr>
          <w:p w14:paraId="383F7774"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c>
          <w:tcPr>
            <w:tcW w:w="2099" w:type="pct"/>
            <w:tcBorders>
              <w:top w:val="outset" w:sz="6" w:space="0" w:color="000000"/>
              <w:left w:val="outset" w:sz="6" w:space="0" w:color="000000"/>
              <w:bottom w:val="outset" w:sz="6" w:space="0" w:color="000000"/>
              <w:right w:val="outset" w:sz="6" w:space="0" w:color="000000"/>
            </w:tcBorders>
            <w:hideMark/>
          </w:tcPr>
          <w:p w14:paraId="75D66C43"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890FD6" w:rsidRPr="00B443FB" w14:paraId="200F5FF6"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43FF20A9"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Changes in Eligible Basis or</w:t>
            </w:r>
            <w:r w:rsidRPr="00B443FB">
              <w:rPr>
                <w:rFonts w:asciiTheme="minorHAnsi" w:eastAsia="Times New Roman" w:hAnsiTheme="minorHAnsi" w:cs="Times"/>
              </w:rPr>
              <w:br/>
              <w:t>Applicable percentage in violation of</w:t>
            </w:r>
            <w:r w:rsidRPr="00B443FB">
              <w:rPr>
                <w:rFonts w:asciiTheme="minorHAnsi" w:eastAsia="Times New Roman" w:hAnsiTheme="minorHAnsi" w:cs="Times"/>
              </w:rPr>
              <w:br/>
              <w:t>the IRS 8823 Audit Guide or other</w:t>
            </w:r>
            <w:r w:rsidRPr="00B443FB">
              <w:rPr>
                <w:rFonts w:asciiTheme="minorHAnsi" w:eastAsia="Times New Roman" w:hAnsiTheme="minorHAnsi" w:cs="Times"/>
              </w:rPr>
              <w:br/>
              <w:t>IRS guidance</w:t>
            </w:r>
          </w:p>
        </w:tc>
        <w:tc>
          <w:tcPr>
            <w:tcW w:w="1376" w:type="pct"/>
            <w:tcBorders>
              <w:top w:val="outset" w:sz="6" w:space="0" w:color="000000"/>
              <w:left w:val="outset" w:sz="6" w:space="0" w:color="000000"/>
              <w:bottom w:val="outset" w:sz="6" w:space="0" w:color="000000"/>
              <w:right w:val="outset" w:sz="6" w:space="0" w:color="000000"/>
            </w:tcBorders>
            <w:hideMark/>
          </w:tcPr>
          <w:p w14:paraId="2D94B961"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 per</w:t>
            </w:r>
            <w:r w:rsidRPr="00B443FB">
              <w:rPr>
                <w:rFonts w:asciiTheme="minorHAnsi" w:eastAsia="Times New Roman" w:hAnsiTheme="minorHAnsi" w:cs="Times"/>
              </w:rPr>
              <w:br/>
              <w:t>violation</w:t>
            </w:r>
          </w:p>
        </w:tc>
        <w:tc>
          <w:tcPr>
            <w:tcW w:w="2099" w:type="pct"/>
            <w:tcBorders>
              <w:top w:val="outset" w:sz="6" w:space="0" w:color="000000"/>
              <w:left w:val="outset" w:sz="6" w:space="0" w:color="000000"/>
              <w:bottom w:val="outset" w:sz="6" w:space="0" w:color="000000"/>
              <w:right w:val="outset" w:sz="6" w:space="0" w:color="000000"/>
            </w:tcBorders>
            <w:hideMark/>
          </w:tcPr>
          <w:p w14:paraId="3D988ABE"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 per</w:t>
            </w:r>
            <w:r w:rsidRPr="00B443FB">
              <w:rPr>
                <w:rFonts w:asciiTheme="minorHAnsi" w:eastAsia="Times New Roman" w:hAnsiTheme="minorHAnsi" w:cs="Times"/>
              </w:rPr>
              <w:br/>
              <w:t>violation</w:t>
            </w:r>
          </w:p>
        </w:tc>
      </w:tr>
      <w:tr w:rsidR="00890FD6" w:rsidRPr="00B443FB" w14:paraId="0DCCEA2D"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08E1180B"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submit all or parts of the</w:t>
            </w:r>
            <w:r w:rsidRPr="00B443FB">
              <w:rPr>
                <w:rFonts w:asciiTheme="minorHAnsi" w:eastAsia="Times New Roman" w:hAnsiTheme="minorHAnsi" w:cs="Times"/>
              </w:rPr>
              <w:br/>
              <w:t>Annual Owner's Compliance Report</w:t>
            </w:r>
          </w:p>
        </w:tc>
        <w:tc>
          <w:tcPr>
            <w:tcW w:w="1376" w:type="pct"/>
            <w:tcBorders>
              <w:top w:val="outset" w:sz="6" w:space="0" w:color="000000"/>
              <w:left w:val="outset" w:sz="6" w:space="0" w:color="000000"/>
              <w:bottom w:val="outset" w:sz="6" w:space="0" w:color="000000"/>
              <w:right w:val="outset" w:sz="6" w:space="0" w:color="000000"/>
            </w:tcBorders>
            <w:hideMark/>
          </w:tcPr>
          <w:p w14:paraId="3E640FE6" w14:textId="1D7813D3"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c>
          <w:tcPr>
            <w:tcW w:w="2099" w:type="pct"/>
            <w:tcBorders>
              <w:top w:val="outset" w:sz="6" w:space="0" w:color="000000"/>
              <w:left w:val="outset" w:sz="6" w:space="0" w:color="000000"/>
              <w:bottom w:val="outset" w:sz="6" w:space="0" w:color="000000"/>
              <w:right w:val="outset" w:sz="6" w:space="0" w:color="000000"/>
            </w:tcBorders>
            <w:hideMark/>
          </w:tcPr>
          <w:p w14:paraId="1FC2C359"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890FD6" w:rsidRPr="00B443FB" w14:paraId="78F449D1"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094086B6"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respond to Compliance Division requests for clarification regarding answers on the Annual Owner’s Compliance Report</w:t>
            </w:r>
          </w:p>
        </w:tc>
        <w:tc>
          <w:tcPr>
            <w:tcW w:w="1376" w:type="pct"/>
            <w:tcBorders>
              <w:top w:val="outset" w:sz="6" w:space="0" w:color="000000"/>
              <w:left w:val="outset" w:sz="6" w:space="0" w:color="000000"/>
              <w:bottom w:val="outset" w:sz="6" w:space="0" w:color="000000"/>
              <w:right w:val="outset" w:sz="6" w:space="0" w:color="000000"/>
            </w:tcBorders>
          </w:tcPr>
          <w:p w14:paraId="0B7C96BD"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w:t>
            </w:r>
          </w:p>
        </w:tc>
        <w:tc>
          <w:tcPr>
            <w:tcW w:w="2099" w:type="pct"/>
            <w:tcBorders>
              <w:top w:val="outset" w:sz="6" w:space="0" w:color="000000"/>
              <w:left w:val="outset" w:sz="6" w:space="0" w:color="000000"/>
              <w:bottom w:val="outset" w:sz="6" w:space="0" w:color="000000"/>
              <w:right w:val="outset" w:sz="6" w:space="0" w:color="000000"/>
            </w:tcBorders>
          </w:tcPr>
          <w:p w14:paraId="45AF80FD"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$750</w:t>
            </w:r>
          </w:p>
        </w:tc>
      </w:tr>
      <w:tr w:rsidR="00890FD6" w:rsidRPr="00B443FB" w14:paraId="062C6D3B"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4EC0C3F2" w14:textId="229D40B3"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submit quarterly</w:t>
            </w:r>
            <w:r w:rsidRPr="00B443FB">
              <w:rPr>
                <w:rFonts w:asciiTheme="minorHAnsi" w:eastAsia="Times New Roman" w:hAnsiTheme="minorHAnsi" w:cs="Times"/>
              </w:rPr>
              <w:br/>
              <w:t>reports as required by §10.607 of this</w:t>
            </w:r>
            <w:r w:rsidRPr="00B443FB">
              <w:rPr>
                <w:rFonts w:asciiTheme="minorHAnsi" w:eastAsia="Times New Roman" w:hAnsiTheme="minorHAnsi" w:cs="Times"/>
              </w:rPr>
              <w:br/>
              <w:t>title</w:t>
            </w:r>
          </w:p>
        </w:tc>
        <w:tc>
          <w:tcPr>
            <w:tcW w:w="1376" w:type="pct"/>
            <w:tcBorders>
              <w:top w:val="outset" w:sz="6" w:space="0" w:color="000000"/>
              <w:left w:val="outset" w:sz="6" w:space="0" w:color="000000"/>
              <w:bottom w:val="outset" w:sz="6" w:space="0" w:color="000000"/>
              <w:right w:val="outset" w:sz="6" w:space="0" w:color="000000"/>
            </w:tcBorders>
            <w:hideMark/>
          </w:tcPr>
          <w:p w14:paraId="5429FFD7" w14:textId="5CDA8BBD"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Up to $100, then and additional $250 for each subsequent quarter that the report  is not received </w:t>
            </w:r>
          </w:p>
        </w:tc>
        <w:tc>
          <w:tcPr>
            <w:tcW w:w="2099" w:type="pct"/>
            <w:tcBorders>
              <w:top w:val="outset" w:sz="6" w:space="0" w:color="000000"/>
              <w:left w:val="outset" w:sz="6" w:space="0" w:color="000000"/>
              <w:bottom w:val="outset" w:sz="6" w:space="0" w:color="000000"/>
              <w:right w:val="outset" w:sz="6" w:space="0" w:color="000000"/>
            </w:tcBorders>
            <w:hideMark/>
          </w:tcPr>
          <w:p w14:paraId="6A48CEA5" w14:textId="472FC5B9"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 then an additional $500 for each</w:t>
            </w:r>
            <w:r w:rsidRPr="00B443FB">
              <w:rPr>
                <w:rFonts w:asciiTheme="minorHAnsi" w:eastAsia="Times New Roman" w:hAnsiTheme="minorHAnsi" w:cs="Times"/>
              </w:rPr>
              <w:br/>
              <w:t>subsequent quarter that the report is not</w:t>
            </w:r>
            <w:r w:rsidRPr="00B443FB">
              <w:rPr>
                <w:rFonts w:asciiTheme="minorHAnsi" w:eastAsia="Times New Roman" w:hAnsiTheme="minorHAnsi" w:cs="Times"/>
              </w:rPr>
              <w:br/>
              <w:t>submitted</w:t>
            </w:r>
          </w:p>
        </w:tc>
      </w:tr>
      <w:tr w:rsidR="00890FD6" w:rsidRPr="00B443FB" w14:paraId="170FB5D4"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71672960"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Noncompliance with utility allowance</w:t>
            </w:r>
            <w:r w:rsidRPr="00B443FB">
              <w:rPr>
                <w:rFonts w:asciiTheme="minorHAnsi" w:eastAsia="Times New Roman" w:hAnsiTheme="minorHAnsi" w:cs="Times"/>
              </w:rPr>
              <w:br/>
            </w:r>
            <w:r w:rsidRPr="00B443FB">
              <w:rPr>
                <w:rFonts w:asciiTheme="minorHAnsi" w:eastAsia="Times New Roman" w:hAnsiTheme="minorHAnsi" w:cs="Times"/>
              </w:rPr>
              <w:lastRenderedPageBreak/>
              <w:t>requirements described in §10.614 of</w:t>
            </w:r>
            <w:r w:rsidRPr="00B443FB">
              <w:rPr>
                <w:rFonts w:asciiTheme="minorHAnsi" w:eastAsia="Times New Roman" w:hAnsiTheme="minorHAnsi" w:cs="Times"/>
              </w:rPr>
              <w:br/>
              <w:t>this title and/or Treasury Regulation</w:t>
            </w:r>
            <w:r w:rsidRPr="00B443FB">
              <w:rPr>
                <w:rFonts w:asciiTheme="minorHAnsi" w:eastAsia="Times New Roman" w:hAnsiTheme="minorHAnsi" w:cs="Times"/>
              </w:rPr>
              <w:br/>
              <w:t>§1.42-10</w:t>
            </w:r>
          </w:p>
        </w:tc>
        <w:tc>
          <w:tcPr>
            <w:tcW w:w="1376" w:type="pct"/>
            <w:tcBorders>
              <w:top w:val="outset" w:sz="6" w:space="0" w:color="000000"/>
              <w:left w:val="outset" w:sz="6" w:space="0" w:color="000000"/>
              <w:bottom w:val="outset" w:sz="6" w:space="0" w:color="000000"/>
              <w:right w:val="outset" w:sz="6" w:space="0" w:color="000000"/>
            </w:tcBorders>
            <w:hideMark/>
          </w:tcPr>
          <w:p w14:paraId="1DAB49E1" w14:textId="0EC131E9"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lastRenderedPageBreak/>
              <w:t xml:space="preserve">Up to $50 per unit </w:t>
            </w:r>
          </w:p>
        </w:tc>
        <w:tc>
          <w:tcPr>
            <w:tcW w:w="2099" w:type="pct"/>
            <w:tcBorders>
              <w:top w:val="outset" w:sz="6" w:space="0" w:color="000000"/>
              <w:left w:val="outset" w:sz="6" w:space="0" w:color="000000"/>
              <w:bottom w:val="outset" w:sz="6" w:space="0" w:color="000000"/>
              <w:right w:val="outset" w:sz="6" w:space="0" w:color="000000"/>
            </w:tcBorders>
            <w:hideMark/>
          </w:tcPr>
          <w:p w14:paraId="4F3DF5E8" w14:textId="24A47A1C"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Up to $100 per unit </w:t>
            </w:r>
          </w:p>
        </w:tc>
      </w:tr>
      <w:tr w:rsidR="00890FD6" w:rsidRPr="00B443FB" w14:paraId="70D998CF"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50BF32BF"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Noncompliance with lease</w:t>
            </w:r>
            <w:r w:rsidRPr="00B443FB">
              <w:rPr>
                <w:rFonts w:asciiTheme="minorHAnsi" w:eastAsia="Times New Roman" w:hAnsiTheme="minorHAnsi" w:cs="Times"/>
              </w:rPr>
              <w:br/>
              <w:t>requirements described in §10.613 of</w:t>
            </w:r>
            <w:r w:rsidRPr="00B443FB">
              <w:rPr>
                <w:rFonts w:asciiTheme="minorHAnsi" w:eastAsia="Times New Roman" w:hAnsiTheme="minorHAnsi" w:cs="Times"/>
              </w:rPr>
              <w:br/>
              <w:t>this title (failure to execute required lease provisions)</w:t>
            </w:r>
          </w:p>
        </w:tc>
        <w:tc>
          <w:tcPr>
            <w:tcW w:w="1376" w:type="pct"/>
            <w:tcBorders>
              <w:top w:val="outset" w:sz="6" w:space="0" w:color="000000"/>
              <w:left w:val="outset" w:sz="6" w:space="0" w:color="000000"/>
              <w:bottom w:val="outset" w:sz="6" w:space="0" w:color="000000"/>
              <w:right w:val="outset" w:sz="6" w:space="0" w:color="000000"/>
            </w:tcBorders>
            <w:hideMark/>
          </w:tcPr>
          <w:p w14:paraId="520AB415"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c>
          <w:tcPr>
            <w:tcW w:w="2099" w:type="pct"/>
            <w:tcBorders>
              <w:top w:val="outset" w:sz="6" w:space="0" w:color="000000"/>
              <w:left w:val="outset" w:sz="6" w:space="0" w:color="000000"/>
              <w:bottom w:val="outset" w:sz="6" w:space="0" w:color="000000"/>
              <w:right w:val="outset" w:sz="6" w:space="0" w:color="000000"/>
            </w:tcBorders>
            <w:hideMark/>
          </w:tcPr>
          <w:p w14:paraId="7FAB7CA4"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890FD6" w:rsidRPr="00B443FB" w14:paraId="7ABA05F5"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66C83981"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Noncompliance with lease requirements described in §10.613 of this title (failure to provide lease brochures, guides or notices described in §10.613 currently including but not limited to the Tenant Rights and Resources Guide)</w:t>
            </w:r>
          </w:p>
        </w:tc>
        <w:tc>
          <w:tcPr>
            <w:tcW w:w="1376" w:type="pct"/>
            <w:tcBorders>
              <w:top w:val="outset" w:sz="6" w:space="0" w:color="000000"/>
              <w:left w:val="outset" w:sz="6" w:space="0" w:color="000000"/>
              <w:bottom w:val="outset" w:sz="6" w:space="0" w:color="000000"/>
              <w:right w:val="outset" w:sz="6" w:space="0" w:color="000000"/>
            </w:tcBorders>
          </w:tcPr>
          <w:p w14:paraId="2A52F0E4"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w:t>
            </w:r>
          </w:p>
        </w:tc>
        <w:tc>
          <w:tcPr>
            <w:tcW w:w="2099" w:type="pct"/>
            <w:tcBorders>
              <w:top w:val="outset" w:sz="6" w:space="0" w:color="000000"/>
              <w:left w:val="outset" w:sz="6" w:space="0" w:color="000000"/>
              <w:bottom w:val="outset" w:sz="6" w:space="0" w:color="000000"/>
              <w:right w:val="outset" w:sz="6" w:space="0" w:color="000000"/>
            </w:tcBorders>
          </w:tcPr>
          <w:p w14:paraId="4AF02B4D"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r>
      <w:tr w:rsidR="00890FD6" w:rsidRPr="00B443FB" w14:paraId="01B5A003"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4D8371CD"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Asset Management has reported that Development has failed to establish</w:t>
            </w:r>
            <w:r w:rsidRPr="00B443FB">
              <w:rPr>
                <w:rFonts w:asciiTheme="minorHAnsi" w:eastAsia="Times New Roman" w:hAnsiTheme="minorHAnsi" w:cs="Times"/>
              </w:rPr>
              <w:br/>
              <w:t>and maintain a reserve account in</w:t>
            </w:r>
            <w:r w:rsidRPr="00B443FB">
              <w:rPr>
                <w:rFonts w:asciiTheme="minorHAnsi" w:eastAsia="Times New Roman" w:hAnsiTheme="minorHAnsi" w:cs="Times"/>
              </w:rPr>
              <w:br/>
              <w:t>accordance with §10.404 of this title</w:t>
            </w:r>
          </w:p>
        </w:tc>
        <w:tc>
          <w:tcPr>
            <w:tcW w:w="1376" w:type="pct"/>
            <w:tcBorders>
              <w:top w:val="outset" w:sz="6" w:space="0" w:color="000000"/>
              <w:left w:val="outset" w:sz="6" w:space="0" w:color="000000"/>
              <w:bottom w:val="outset" w:sz="6" w:space="0" w:color="000000"/>
              <w:right w:val="outset" w:sz="6" w:space="0" w:color="000000"/>
            </w:tcBorders>
            <w:hideMark/>
          </w:tcPr>
          <w:p w14:paraId="46B1B198"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c>
          <w:tcPr>
            <w:tcW w:w="2099" w:type="pct"/>
            <w:tcBorders>
              <w:top w:val="outset" w:sz="6" w:space="0" w:color="000000"/>
              <w:left w:val="outset" w:sz="6" w:space="0" w:color="000000"/>
              <w:bottom w:val="outset" w:sz="6" w:space="0" w:color="000000"/>
              <w:right w:val="outset" w:sz="6" w:space="0" w:color="000000"/>
            </w:tcBorders>
            <w:hideMark/>
          </w:tcPr>
          <w:p w14:paraId="29F6F22E"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890FD6" w:rsidRPr="00B443FB" w14:paraId="3C66350B"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2FC849A4"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provide a notary public as</w:t>
            </w:r>
            <w:r w:rsidRPr="00B443FB">
              <w:rPr>
                <w:rFonts w:asciiTheme="minorHAnsi" w:eastAsia="Times New Roman" w:hAnsiTheme="minorHAnsi" w:cs="Times"/>
              </w:rPr>
              <w:br/>
              <w:t>promised at application</w:t>
            </w:r>
          </w:p>
        </w:tc>
        <w:tc>
          <w:tcPr>
            <w:tcW w:w="1376" w:type="pct"/>
            <w:tcBorders>
              <w:top w:val="outset" w:sz="6" w:space="0" w:color="000000"/>
              <w:left w:val="outset" w:sz="6" w:space="0" w:color="000000"/>
              <w:bottom w:val="outset" w:sz="6" w:space="0" w:color="000000"/>
              <w:right w:val="outset" w:sz="6" w:space="0" w:color="000000"/>
            </w:tcBorders>
            <w:hideMark/>
          </w:tcPr>
          <w:p w14:paraId="31BDD50C"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c>
          <w:tcPr>
            <w:tcW w:w="2099" w:type="pct"/>
            <w:tcBorders>
              <w:top w:val="outset" w:sz="6" w:space="0" w:color="000000"/>
              <w:left w:val="outset" w:sz="6" w:space="0" w:color="000000"/>
              <w:bottom w:val="outset" w:sz="6" w:space="0" w:color="000000"/>
              <w:right w:val="outset" w:sz="6" w:space="0" w:color="000000"/>
            </w:tcBorders>
            <w:hideMark/>
          </w:tcPr>
          <w:p w14:paraId="5AA30E3E"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$750</w:t>
            </w:r>
          </w:p>
        </w:tc>
      </w:tr>
      <w:tr w:rsidR="00890FD6" w:rsidRPr="00B443FB" w14:paraId="6CC9A46D"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380DBCA4"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Violation of the Unit Vacancy Rule</w:t>
            </w:r>
          </w:p>
        </w:tc>
        <w:tc>
          <w:tcPr>
            <w:tcW w:w="1376" w:type="pct"/>
            <w:tcBorders>
              <w:top w:val="outset" w:sz="6" w:space="0" w:color="000000"/>
              <w:left w:val="outset" w:sz="6" w:space="0" w:color="000000"/>
              <w:bottom w:val="outset" w:sz="6" w:space="0" w:color="000000"/>
              <w:right w:val="outset" w:sz="6" w:space="0" w:color="000000"/>
            </w:tcBorders>
            <w:hideMark/>
          </w:tcPr>
          <w:p w14:paraId="020AAAA9"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 per violation</w:t>
            </w:r>
          </w:p>
        </w:tc>
        <w:tc>
          <w:tcPr>
            <w:tcW w:w="2099" w:type="pct"/>
            <w:tcBorders>
              <w:top w:val="outset" w:sz="6" w:space="0" w:color="000000"/>
              <w:left w:val="outset" w:sz="6" w:space="0" w:color="000000"/>
              <w:bottom w:val="outset" w:sz="6" w:space="0" w:color="000000"/>
              <w:right w:val="outset" w:sz="6" w:space="0" w:color="000000"/>
            </w:tcBorders>
            <w:hideMark/>
          </w:tcPr>
          <w:p w14:paraId="6E41C905"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per violation</w:t>
            </w:r>
          </w:p>
        </w:tc>
      </w:tr>
      <w:tr w:rsidR="00890FD6" w:rsidRPr="00B443FB" w14:paraId="5D3C1DC2"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0EB5D1D4"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provide pre-onsite</w:t>
            </w:r>
            <w:r w:rsidRPr="00B443FB">
              <w:rPr>
                <w:rFonts w:asciiTheme="minorHAnsi" w:eastAsia="Times New Roman" w:hAnsiTheme="minorHAnsi" w:cs="Times"/>
              </w:rPr>
              <w:br/>
              <w:t>documentation</w:t>
            </w:r>
          </w:p>
        </w:tc>
        <w:tc>
          <w:tcPr>
            <w:tcW w:w="1376" w:type="pct"/>
            <w:tcBorders>
              <w:top w:val="outset" w:sz="6" w:space="0" w:color="000000"/>
              <w:left w:val="outset" w:sz="6" w:space="0" w:color="000000"/>
              <w:bottom w:val="outset" w:sz="6" w:space="0" w:color="000000"/>
              <w:right w:val="outset" w:sz="6" w:space="0" w:color="000000"/>
            </w:tcBorders>
            <w:hideMark/>
          </w:tcPr>
          <w:p w14:paraId="703F589A"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 per pre-onsite documentation item</w:t>
            </w:r>
          </w:p>
        </w:tc>
        <w:tc>
          <w:tcPr>
            <w:tcW w:w="2099" w:type="pct"/>
            <w:tcBorders>
              <w:top w:val="outset" w:sz="6" w:space="0" w:color="000000"/>
              <w:left w:val="outset" w:sz="6" w:space="0" w:color="000000"/>
              <w:bottom w:val="outset" w:sz="6" w:space="0" w:color="000000"/>
              <w:right w:val="outset" w:sz="6" w:space="0" w:color="000000"/>
            </w:tcBorders>
            <w:hideMark/>
          </w:tcPr>
          <w:p w14:paraId="4936FAB0"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per pre-onsite documentation item</w:t>
            </w:r>
          </w:p>
        </w:tc>
      </w:tr>
      <w:tr w:rsidR="00890FD6" w:rsidRPr="00B443FB" w14:paraId="2240E5B9"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664E83ED"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provide amenity as required</w:t>
            </w:r>
            <w:r w:rsidRPr="00B443FB">
              <w:rPr>
                <w:rFonts w:asciiTheme="minorHAnsi" w:eastAsia="Times New Roman" w:hAnsiTheme="minorHAnsi" w:cs="Times"/>
              </w:rPr>
              <w:br/>
              <w:t>by LURA</w:t>
            </w:r>
          </w:p>
        </w:tc>
        <w:tc>
          <w:tcPr>
            <w:tcW w:w="1376" w:type="pct"/>
            <w:tcBorders>
              <w:top w:val="outset" w:sz="6" w:space="0" w:color="000000"/>
              <w:left w:val="outset" w:sz="6" w:space="0" w:color="000000"/>
              <w:bottom w:val="outset" w:sz="6" w:space="0" w:color="000000"/>
              <w:right w:val="outset" w:sz="6" w:space="0" w:color="000000"/>
            </w:tcBorders>
            <w:hideMark/>
          </w:tcPr>
          <w:p w14:paraId="6D27FCE0" w14:textId="54ED3C11"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c>
          <w:tcPr>
            <w:tcW w:w="2099" w:type="pct"/>
            <w:tcBorders>
              <w:top w:val="outset" w:sz="6" w:space="0" w:color="000000"/>
              <w:left w:val="outset" w:sz="6" w:space="0" w:color="000000"/>
              <w:bottom w:val="outset" w:sz="6" w:space="0" w:color="000000"/>
              <w:right w:val="outset" w:sz="6" w:space="0" w:color="000000"/>
            </w:tcBorders>
            <w:hideMark/>
          </w:tcPr>
          <w:p w14:paraId="321D1F27"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 plus $100 for each subsequent day the violation continues</w:t>
            </w:r>
          </w:p>
        </w:tc>
      </w:tr>
      <w:tr w:rsidR="00890FD6" w:rsidRPr="00B443FB" w14:paraId="4304840E"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2EB9B9C8"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pay asset management,</w:t>
            </w:r>
            <w:r w:rsidRPr="00B443FB">
              <w:rPr>
                <w:rFonts w:asciiTheme="minorHAnsi" w:eastAsia="Times New Roman" w:hAnsiTheme="minorHAnsi" w:cs="Times"/>
              </w:rPr>
              <w:br/>
              <w:t>compliance monitoring or other</w:t>
            </w:r>
            <w:r w:rsidRPr="00B443FB">
              <w:rPr>
                <w:rFonts w:asciiTheme="minorHAnsi" w:eastAsia="Times New Roman" w:hAnsiTheme="minorHAnsi" w:cs="Times"/>
              </w:rPr>
              <w:br/>
              <w:t>required fee</w:t>
            </w:r>
          </w:p>
        </w:tc>
        <w:tc>
          <w:tcPr>
            <w:tcW w:w="1376" w:type="pct"/>
            <w:tcBorders>
              <w:top w:val="outset" w:sz="6" w:space="0" w:color="000000"/>
              <w:left w:val="outset" w:sz="6" w:space="0" w:color="000000"/>
              <w:bottom w:val="outset" w:sz="6" w:space="0" w:color="000000"/>
              <w:right w:val="outset" w:sz="6" w:space="0" w:color="000000"/>
            </w:tcBorders>
            <w:hideMark/>
          </w:tcPr>
          <w:p w14:paraId="261903C0"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 for the first</w:t>
            </w:r>
            <w:r w:rsidRPr="00B443FB">
              <w:rPr>
                <w:rFonts w:asciiTheme="minorHAnsi" w:eastAsia="Times New Roman" w:hAnsiTheme="minorHAnsi" w:cs="Times"/>
              </w:rPr>
              <w:br/>
              <w:t>day plus $10 per day for</w:t>
            </w:r>
            <w:r w:rsidRPr="00B443FB">
              <w:rPr>
                <w:rFonts w:asciiTheme="minorHAnsi" w:eastAsia="Times New Roman" w:hAnsiTheme="minorHAnsi" w:cs="Times"/>
              </w:rPr>
              <w:br/>
              <w:t>each subsequent day the</w:t>
            </w:r>
            <w:r w:rsidRPr="00B443FB">
              <w:rPr>
                <w:rFonts w:asciiTheme="minorHAnsi" w:eastAsia="Times New Roman" w:hAnsiTheme="minorHAnsi" w:cs="Times"/>
              </w:rPr>
              <w:br/>
              <w:t>violation continues</w:t>
            </w:r>
          </w:p>
        </w:tc>
        <w:tc>
          <w:tcPr>
            <w:tcW w:w="2099" w:type="pct"/>
            <w:tcBorders>
              <w:top w:val="outset" w:sz="6" w:space="0" w:color="000000"/>
              <w:left w:val="outset" w:sz="6" w:space="0" w:color="000000"/>
              <w:bottom w:val="outset" w:sz="6" w:space="0" w:color="000000"/>
              <w:right w:val="outset" w:sz="6" w:space="0" w:color="000000"/>
            </w:tcBorders>
            <w:hideMark/>
          </w:tcPr>
          <w:p w14:paraId="28B1AB47"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for the first day plus</w:t>
            </w:r>
            <w:r w:rsidRPr="00B443FB">
              <w:rPr>
                <w:rFonts w:asciiTheme="minorHAnsi" w:eastAsia="Times New Roman" w:hAnsiTheme="minorHAnsi" w:cs="Times"/>
              </w:rPr>
              <w:br/>
              <w:t>$50 per day for each subsequent</w:t>
            </w:r>
            <w:r w:rsidRPr="00B443FB">
              <w:rPr>
                <w:rFonts w:asciiTheme="minorHAnsi" w:eastAsia="Times New Roman" w:hAnsiTheme="minorHAnsi" w:cs="Times"/>
              </w:rPr>
              <w:br/>
              <w:t>day the violation continues</w:t>
            </w:r>
          </w:p>
        </w:tc>
      </w:tr>
      <w:tr w:rsidR="00890FD6" w:rsidRPr="00B443FB" w14:paraId="49496BED"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1F4AEEF2"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lastRenderedPageBreak/>
              <w:t>Change in ownership without</w:t>
            </w:r>
            <w:r w:rsidRPr="00B443FB">
              <w:rPr>
                <w:rFonts w:asciiTheme="minorHAnsi" w:eastAsia="Times New Roman" w:hAnsiTheme="minorHAnsi" w:cs="Times"/>
              </w:rPr>
              <w:br/>
              <w:t>department approval (other than</w:t>
            </w:r>
            <w:r w:rsidRPr="00B443FB">
              <w:rPr>
                <w:rFonts w:asciiTheme="minorHAnsi" w:eastAsia="Times New Roman" w:hAnsiTheme="minorHAnsi" w:cs="Times"/>
              </w:rPr>
              <w:br/>
              <w:t>removal of a general partner in</w:t>
            </w:r>
            <w:r w:rsidRPr="00B443FB">
              <w:rPr>
                <w:rFonts w:asciiTheme="minorHAnsi" w:eastAsia="Times New Roman" w:hAnsiTheme="minorHAnsi" w:cs="Times"/>
              </w:rPr>
              <w:br/>
              <w:t>accordance with §10.406 of this title)</w:t>
            </w:r>
          </w:p>
        </w:tc>
        <w:tc>
          <w:tcPr>
            <w:tcW w:w="1376" w:type="pct"/>
            <w:tcBorders>
              <w:top w:val="outset" w:sz="6" w:space="0" w:color="000000"/>
              <w:left w:val="outset" w:sz="6" w:space="0" w:color="000000"/>
              <w:bottom w:val="outset" w:sz="6" w:space="0" w:color="000000"/>
              <w:right w:val="outset" w:sz="6" w:space="0" w:color="000000"/>
            </w:tcBorders>
            <w:hideMark/>
          </w:tcPr>
          <w:p w14:paraId="18BD75EF"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for the first</w:t>
            </w:r>
            <w:r w:rsidRPr="00B443FB">
              <w:rPr>
                <w:rFonts w:asciiTheme="minorHAnsi" w:eastAsia="Times New Roman" w:hAnsiTheme="minorHAnsi" w:cs="Times"/>
              </w:rPr>
              <w:br/>
              <w:t>day plus $100 per day</w:t>
            </w:r>
            <w:r w:rsidRPr="00B443FB">
              <w:rPr>
                <w:rFonts w:asciiTheme="minorHAnsi" w:eastAsia="Times New Roman" w:hAnsiTheme="minorHAnsi" w:cs="Times"/>
              </w:rPr>
              <w:br/>
              <w:t>for each subsequent day</w:t>
            </w:r>
            <w:r w:rsidRPr="00B443FB">
              <w:rPr>
                <w:rFonts w:asciiTheme="minorHAnsi" w:eastAsia="Times New Roman" w:hAnsiTheme="minorHAnsi" w:cs="Times"/>
              </w:rPr>
              <w:br/>
              <w:t>the violation continues</w:t>
            </w:r>
          </w:p>
        </w:tc>
        <w:tc>
          <w:tcPr>
            <w:tcW w:w="2099" w:type="pct"/>
            <w:tcBorders>
              <w:top w:val="outset" w:sz="6" w:space="0" w:color="000000"/>
              <w:left w:val="outset" w:sz="6" w:space="0" w:color="000000"/>
              <w:bottom w:val="outset" w:sz="6" w:space="0" w:color="000000"/>
              <w:right w:val="outset" w:sz="6" w:space="0" w:color="000000"/>
            </w:tcBorders>
            <w:hideMark/>
          </w:tcPr>
          <w:p w14:paraId="37621842" w14:textId="77777777" w:rsidR="00890FD6" w:rsidRPr="00B443FB" w:rsidRDefault="00890FD6"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for the first day plus</w:t>
            </w:r>
            <w:r w:rsidRPr="00B443FB">
              <w:rPr>
                <w:rFonts w:asciiTheme="minorHAnsi" w:eastAsia="Times New Roman" w:hAnsiTheme="minorHAnsi" w:cs="Times"/>
              </w:rPr>
              <w:br/>
              <w:t>$200 per day for each subsequent</w:t>
            </w:r>
            <w:r w:rsidRPr="00B443FB">
              <w:rPr>
                <w:rFonts w:asciiTheme="minorHAnsi" w:eastAsia="Times New Roman" w:hAnsiTheme="minorHAnsi" w:cs="Times"/>
              </w:rPr>
              <w:br/>
              <w:t>day the violation continues</w:t>
            </w:r>
          </w:p>
        </w:tc>
      </w:tr>
      <w:tr w:rsidR="00472FFB" w:rsidRPr="00B443FB" w14:paraId="5365889E"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20BE35AC" w14:textId="30767868"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Noncompliance with written policy and procedure </w:t>
            </w:r>
            <w:r w:rsidRPr="00B443FB">
              <w:rPr>
                <w:rFonts w:asciiTheme="minorHAnsi" w:eastAsia="Times New Roman" w:hAnsiTheme="minorHAnsi" w:cs="Times"/>
              </w:rPr>
              <w:br/>
              <w:t>requirements described in §10.802 of</w:t>
            </w:r>
            <w:r w:rsidRPr="00B443FB">
              <w:rPr>
                <w:rFonts w:asciiTheme="minorHAnsi" w:eastAsia="Times New Roman" w:hAnsiTheme="minorHAnsi" w:cs="Times"/>
              </w:rPr>
              <w:br/>
              <w:t>this title (written policy violations)</w:t>
            </w:r>
          </w:p>
        </w:tc>
        <w:tc>
          <w:tcPr>
            <w:tcW w:w="1376" w:type="pct"/>
            <w:tcBorders>
              <w:top w:val="outset" w:sz="6" w:space="0" w:color="000000"/>
              <w:left w:val="outset" w:sz="6" w:space="0" w:color="000000"/>
              <w:bottom w:val="outset" w:sz="6" w:space="0" w:color="000000"/>
              <w:right w:val="outset" w:sz="6" w:space="0" w:color="000000"/>
            </w:tcBorders>
            <w:hideMark/>
          </w:tcPr>
          <w:p w14:paraId="3C1DC168" w14:textId="4BF60D2A"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per violation</w:t>
            </w:r>
          </w:p>
        </w:tc>
        <w:tc>
          <w:tcPr>
            <w:tcW w:w="2099" w:type="pct"/>
            <w:tcBorders>
              <w:top w:val="outset" w:sz="6" w:space="0" w:color="000000"/>
              <w:left w:val="outset" w:sz="6" w:space="0" w:color="000000"/>
              <w:bottom w:val="outset" w:sz="6" w:space="0" w:color="000000"/>
              <w:right w:val="outset" w:sz="6" w:space="0" w:color="000000"/>
            </w:tcBorders>
            <w:hideMark/>
          </w:tcPr>
          <w:p w14:paraId="5C9175EA" w14:textId="3963E6DD"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356B976D"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793703D7" w14:textId="380BC8B6"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Noncompliance with written policy and procedure requirements described in §10.802 of this title (notice of termination language requirements)</w:t>
            </w:r>
          </w:p>
        </w:tc>
        <w:tc>
          <w:tcPr>
            <w:tcW w:w="1376" w:type="pct"/>
            <w:tcBorders>
              <w:top w:val="outset" w:sz="6" w:space="0" w:color="000000"/>
              <w:left w:val="outset" w:sz="6" w:space="0" w:color="000000"/>
              <w:bottom w:val="outset" w:sz="6" w:space="0" w:color="000000"/>
              <w:right w:val="outset" w:sz="6" w:space="0" w:color="000000"/>
            </w:tcBorders>
            <w:hideMark/>
          </w:tcPr>
          <w:p w14:paraId="4E9B4544" w14:textId="585B1E48"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 per violation</w:t>
            </w:r>
          </w:p>
        </w:tc>
        <w:tc>
          <w:tcPr>
            <w:tcW w:w="2099" w:type="pct"/>
            <w:tcBorders>
              <w:top w:val="outset" w:sz="6" w:space="0" w:color="000000"/>
              <w:left w:val="outset" w:sz="6" w:space="0" w:color="000000"/>
              <w:bottom w:val="outset" w:sz="6" w:space="0" w:color="000000"/>
              <w:right w:val="outset" w:sz="6" w:space="0" w:color="000000"/>
            </w:tcBorders>
            <w:hideMark/>
          </w:tcPr>
          <w:p w14:paraId="35BD2CC7" w14:textId="7A80DAC1"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per violation</w:t>
            </w:r>
          </w:p>
        </w:tc>
      </w:tr>
      <w:tr w:rsidR="00472FFB" w:rsidRPr="00B443FB" w14:paraId="0D0864EA"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7B9CEEDC" w14:textId="29649092"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Noncompliance with Reasonable Accommodation Policy requirements as described in §10.802 of this title </w:t>
            </w:r>
          </w:p>
        </w:tc>
        <w:tc>
          <w:tcPr>
            <w:tcW w:w="1376" w:type="pct"/>
            <w:tcBorders>
              <w:top w:val="outset" w:sz="6" w:space="0" w:color="000000"/>
              <w:left w:val="outset" w:sz="6" w:space="0" w:color="000000"/>
              <w:bottom w:val="outset" w:sz="6" w:space="0" w:color="000000"/>
              <w:right w:val="outset" w:sz="6" w:space="0" w:color="000000"/>
            </w:tcBorders>
          </w:tcPr>
          <w:p w14:paraId="4E846BF3" w14:textId="490135B3"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per violation</w:t>
            </w:r>
          </w:p>
        </w:tc>
        <w:tc>
          <w:tcPr>
            <w:tcW w:w="2099" w:type="pct"/>
            <w:tcBorders>
              <w:top w:val="outset" w:sz="6" w:space="0" w:color="000000"/>
              <w:left w:val="outset" w:sz="6" w:space="0" w:color="000000"/>
              <w:bottom w:val="outset" w:sz="6" w:space="0" w:color="000000"/>
              <w:right w:val="outset" w:sz="6" w:space="0" w:color="000000"/>
            </w:tcBorders>
          </w:tcPr>
          <w:p w14:paraId="492E3732" w14:textId="1DDCC7B1"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464E8AB4"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16142021" w14:textId="38E0CCE6"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Program Unit not leased to Low-</w:t>
            </w:r>
            <w:r w:rsidRPr="00B443FB">
              <w:rPr>
                <w:rFonts w:asciiTheme="minorHAnsi" w:eastAsia="Times New Roman" w:hAnsiTheme="minorHAnsi" w:cs="Times"/>
              </w:rPr>
              <w:br/>
              <w:t xml:space="preserve">Income household (either because the household’s income exceeds the allowable limit or because the owner did not gather adequate documentation to establish household eligibility) </w:t>
            </w:r>
          </w:p>
        </w:tc>
        <w:tc>
          <w:tcPr>
            <w:tcW w:w="1376" w:type="pct"/>
            <w:tcBorders>
              <w:top w:val="outset" w:sz="6" w:space="0" w:color="000000"/>
              <w:left w:val="outset" w:sz="6" w:space="0" w:color="000000"/>
              <w:bottom w:val="outset" w:sz="6" w:space="0" w:color="000000"/>
              <w:right w:val="outset" w:sz="6" w:space="0" w:color="000000"/>
            </w:tcBorders>
          </w:tcPr>
          <w:p w14:paraId="1D215188" w14:textId="55AD9F02"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w:t>
            </w:r>
            <w:r w:rsidRPr="00B443FB">
              <w:rPr>
                <w:rFonts w:asciiTheme="minorHAnsi" w:eastAsia="Times New Roman" w:hAnsiTheme="minorHAnsi" w:cs="Times"/>
              </w:rPr>
              <w:br/>
              <w:t>violation</w:t>
            </w:r>
          </w:p>
        </w:tc>
        <w:tc>
          <w:tcPr>
            <w:tcW w:w="2099" w:type="pct"/>
            <w:tcBorders>
              <w:top w:val="outset" w:sz="6" w:space="0" w:color="000000"/>
              <w:left w:val="outset" w:sz="6" w:space="0" w:color="000000"/>
              <w:bottom w:val="outset" w:sz="6" w:space="0" w:color="000000"/>
              <w:right w:val="outset" w:sz="6" w:space="0" w:color="000000"/>
            </w:tcBorders>
          </w:tcPr>
          <w:p w14:paraId="22418315" w14:textId="77A10D14"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5F6359BC"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4E2BFF92" w14:textId="53A175A9"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Program unit occupied by</w:t>
            </w:r>
            <w:r w:rsidRPr="00B443FB">
              <w:rPr>
                <w:rFonts w:asciiTheme="minorHAnsi" w:eastAsia="Times New Roman" w:hAnsiTheme="minorHAnsi" w:cs="Times"/>
              </w:rPr>
              <w:br/>
              <w:t>nonqualified full-time students</w:t>
            </w:r>
          </w:p>
        </w:tc>
        <w:tc>
          <w:tcPr>
            <w:tcW w:w="1376" w:type="pct"/>
            <w:tcBorders>
              <w:top w:val="outset" w:sz="6" w:space="0" w:color="000000"/>
              <w:left w:val="outset" w:sz="6" w:space="0" w:color="000000"/>
              <w:bottom w:val="outset" w:sz="6" w:space="0" w:color="000000"/>
              <w:right w:val="outset" w:sz="6" w:space="0" w:color="000000"/>
            </w:tcBorders>
            <w:hideMark/>
          </w:tcPr>
          <w:p w14:paraId="08F85843" w14:textId="4E1ADF30"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w:t>
            </w:r>
            <w:r w:rsidRPr="00B443FB">
              <w:rPr>
                <w:rFonts w:asciiTheme="minorHAnsi" w:eastAsia="Times New Roman" w:hAnsiTheme="minorHAnsi" w:cs="Times"/>
              </w:rPr>
              <w:br/>
              <w:t>violation</w:t>
            </w:r>
          </w:p>
        </w:tc>
        <w:tc>
          <w:tcPr>
            <w:tcW w:w="2099" w:type="pct"/>
            <w:tcBorders>
              <w:top w:val="outset" w:sz="6" w:space="0" w:color="000000"/>
              <w:left w:val="outset" w:sz="6" w:space="0" w:color="000000"/>
              <w:bottom w:val="outset" w:sz="6" w:space="0" w:color="000000"/>
              <w:right w:val="outset" w:sz="6" w:space="0" w:color="000000"/>
            </w:tcBorders>
            <w:hideMark/>
          </w:tcPr>
          <w:p w14:paraId="3A5EBC1C" w14:textId="76DCFE87"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5B2BC322"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017659CB" w14:textId="63640F14"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Low-Income units used on a transient</w:t>
            </w:r>
            <w:r w:rsidRPr="00B443FB">
              <w:rPr>
                <w:rFonts w:asciiTheme="minorHAnsi" w:eastAsia="Times New Roman" w:hAnsiTheme="minorHAnsi" w:cs="Times"/>
              </w:rPr>
              <w:br/>
              <w:t>basis</w:t>
            </w:r>
          </w:p>
        </w:tc>
        <w:tc>
          <w:tcPr>
            <w:tcW w:w="1376" w:type="pct"/>
            <w:tcBorders>
              <w:top w:val="outset" w:sz="6" w:space="0" w:color="000000"/>
              <w:left w:val="outset" w:sz="6" w:space="0" w:color="000000"/>
              <w:bottom w:val="outset" w:sz="6" w:space="0" w:color="000000"/>
              <w:right w:val="outset" w:sz="6" w:space="0" w:color="000000"/>
            </w:tcBorders>
            <w:hideMark/>
          </w:tcPr>
          <w:p w14:paraId="345F61B7" w14:textId="66157DAC"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per violation</w:t>
            </w:r>
          </w:p>
        </w:tc>
        <w:tc>
          <w:tcPr>
            <w:tcW w:w="2099" w:type="pct"/>
            <w:tcBorders>
              <w:top w:val="outset" w:sz="6" w:space="0" w:color="000000"/>
              <w:left w:val="outset" w:sz="6" w:space="0" w:color="000000"/>
              <w:bottom w:val="outset" w:sz="6" w:space="0" w:color="000000"/>
              <w:right w:val="outset" w:sz="6" w:space="0" w:color="000000"/>
            </w:tcBorders>
            <w:hideMark/>
          </w:tcPr>
          <w:p w14:paraId="4A348053" w14:textId="002B2BBA"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1BF646DA"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38E9E2BE" w14:textId="13A96EE4"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lastRenderedPageBreak/>
              <w:t>Violation of the Available Unit Rule</w:t>
            </w:r>
          </w:p>
        </w:tc>
        <w:tc>
          <w:tcPr>
            <w:tcW w:w="1376" w:type="pct"/>
            <w:tcBorders>
              <w:top w:val="outset" w:sz="6" w:space="0" w:color="000000"/>
              <w:left w:val="outset" w:sz="6" w:space="0" w:color="000000"/>
              <w:bottom w:val="outset" w:sz="6" w:space="0" w:color="000000"/>
              <w:right w:val="outset" w:sz="6" w:space="0" w:color="000000"/>
            </w:tcBorders>
            <w:hideMark/>
          </w:tcPr>
          <w:p w14:paraId="7FAC625E" w14:textId="08A32A4B"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per violation</w:t>
            </w:r>
          </w:p>
        </w:tc>
        <w:tc>
          <w:tcPr>
            <w:tcW w:w="2099" w:type="pct"/>
            <w:tcBorders>
              <w:top w:val="outset" w:sz="6" w:space="0" w:color="000000"/>
              <w:left w:val="outset" w:sz="6" w:space="0" w:color="000000"/>
              <w:bottom w:val="outset" w:sz="6" w:space="0" w:color="000000"/>
              <w:right w:val="outset" w:sz="6" w:space="0" w:color="000000"/>
            </w:tcBorders>
            <w:hideMark/>
          </w:tcPr>
          <w:p w14:paraId="1346BE11" w14:textId="15760AEC"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24D6D2F2"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5208E745" w14:textId="1742C0B3"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Gross rent exceeds the highest rent</w:t>
            </w:r>
            <w:r w:rsidRPr="00B443FB">
              <w:rPr>
                <w:rFonts w:asciiTheme="minorHAnsi" w:eastAsia="Times New Roman" w:hAnsiTheme="minorHAnsi" w:cs="Times"/>
              </w:rPr>
              <w:br/>
              <w:t>allowed under the LURA or other</w:t>
            </w:r>
            <w:r w:rsidRPr="00B443FB">
              <w:rPr>
                <w:rFonts w:asciiTheme="minorHAnsi" w:eastAsia="Times New Roman" w:hAnsiTheme="minorHAnsi" w:cs="Times"/>
              </w:rPr>
              <w:br/>
              <w:t>deed</w:t>
            </w:r>
            <w:r w:rsidRPr="00B443FB">
              <w:rPr>
                <w:rFonts w:asciiTheme="minorHAnsi" w:eastAsia="Times New Roman" w:hAnsiTheme="minorHAnsi" w:cs="Times"/>
              </w:rPr>
              <w:br/>
              <w:t>restriction</w:t>
            </w:r>
          </w:p>
        </w:tc>
        <w:tc>
          <w:tcPr>
            <w:tcW w:w="1376" w:type="pct"/>
            <w:tcBorders>
              <w:top w:val="outset" w:sz="6" w:space="0" w:color="000000"/>
              <w:left w:val="outset" w:sz="6" w:space="0" w:color="000000"/>
              <w:bottom w:val="outset" w:sz="6" w:space="0" w:color="000000"/>
              <w:right w:val="outset" w:sz="6" w:space="0" w:color="000000"/>
            </w:tcBorders>
            <w:hideMark/>
          </w:tcPr>
          <w:p w14:paraId="3A9D263F" w14:textId="242EF604"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 per unit per</w:t>
            </w:r>
            <w:r w:rsidRPr="00B443FB">
              <w:rPr>
                <w:rFonts w:asciiTheme="minorHAnsi" w:eastAsia="Times New Roman" w:hAnsiTheme="minorHAnsi" w:cs="Times"/>
              </w:rPr>
              <w:br/>
              <w:t>day</w:t>
            </w:r>
          </w:p>
        </w:tc>
        <w:tc>
          <w:tcPr>
            <w:tcW w:w="2099" w:type="pct"/>
            <w:tcBorders>
              <w:top w:val="outset" w:sz="6" w:space="0" w:color="000000"/>
              <w:left w:val="outset" w:sz="6" w:space="0" w:color="000000"/>
              <w:bottom w:val="outset" w:sz="6" w:space="0" w:color="000000"/>
              <w:right w:val="outset" w:sz="6" w:space="0" w:color="000000"/>
            </w:tcBorders>
            <w:hideMark/>
          </w:tcPr>
          <w:p w14:paraId="39D1131B" w14:textId="0A7913B8"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$150 per unit per day</w:t>
            </w:r>
          </w:p>
        </w:tc>
      </w:tr>
      <w:tr w:rsidR="00472FFB" w:rsidRPr="00B443FB" w14:paraId="448ED738"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6067431D" w14:textId="3ACB44C2"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provide Tenant Income</w:t>
            </w:r>
            <w:r w:rsidRPr="00B443FB">
              <w:rPr>
                <w:rFonts w:asciiTheme="minorHAnsi" w:eastAsia="Times New Roman" w:hAnsiTheme="minorHAnsi" w:cs="Times"/>
              </w:rPr>
              <w:br/>
              <w:t>Certification and documentation</w:t>
            </w:r>
          </w:p>
        </w:tc>
        <w:tc>
          <w:tcPr>
            <w:tcW w:w="1376" w:type="pct"/>
            <w:tcBorders>
              <w:top w:val="outset" w:sz="6" w:space="0" w:color="000000"/>
              <w:left w:val="outset" w:sz="6" w:space="0" w:color="000000"/>
              <w:bottom w:val="outset" w:sz="6" w:space="0" w:color="000000"/>
              <w:right w:val="outset" w:sz="6" w:space="0" w:color="000000"/>
            </w:tcBorders>
            <w:hideMark/>
          </w:tcPr>
          <w:p w14:paraId="74868806" w14:textId="266AB4A8"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 per violation</w:t>
            </w:r>
          </w:p>
        </w:tc>
        <w:tc>
          <w:tcPr>
            <w:tcW w:w="2099" w:type="pct"/>
            <w:tcBorders>
              <w:top w:val="outset" w:sz="6" w:space="0" w:color="000000"/>
              <w:left w:val="outset" w:sz="6" w:space="0" w:color="000000"/>
              <w:bottom w:val="outset" w:sz="6" w:space="0" w:color="000000"/>
              <w:right w:val="outset" w:sz="6" w:space="0" w:color="000000"/>
            </w:tcBorders>
            <w:hideMark/>
          </w:tcPr>
          <w:p w14:paraId="681D3BDF" w14:textId="54F333B5"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 per violation</w:t>
            </w:r>
          </w:p>
        </w:tc>
      </w:tr>
      <w:tr w:rsidR="00472FFB" w:rsidRPr="00B443FB" w14:paraId="13FEEFD8"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36E346D4" w14:textId="346716D3"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Unit not available for rent</w:t>
            </w:r>
          </w:p>
        </w:tc>
        <w:tc>
          <w:tcPr>
            <w:tcW w:w="1376" w:type="pct"/>
            <w:tcBorders>
              <w:top w:val="outset" w:sz="6" w:space="0" w:color="000000"/>
              <w:left w:val="outset" w:sz="6" w:space="0" w:color="000000"/>
              <w:bottom w:val="outset" w:sz="6" w:space="0" w:color="000000"/>
              <w:right w:val="outset" w:sz="6" w:space="0" w:color="000000"/>
            </w:tcBorders>
            <w:hideMark/>
          </w:tcPr>
          <w:p w14:paraId="4820F16E" w14:textId="3A1281D0"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  per unit</w:t>
            </w:r>
            <w:r w:rsidRPr="00B443FB">
              <w:rPr>
                <w:rFonts w:asciiTheme="minorHAnsi" w:eastAsia="Times New Roman" w:hAnsiTheme="minorHAnsi" w:cs="Times"/>
              </w:rPr>
              <w:br/>
              <w:t xml:space="preserve">per day </w:t>
            </w:r>
          </w:p>
        </w:tc>
        <w:tc>
          <w:tcPr>
            <w:tcW w:w="2099" w:type="pct"/>
            <w:tcBorders>
              <w:top w:val="outset" w:sz="6" w:space="0" w:color="000000"/>
              <w:left w:val="outset" w:sz="6" w:space="0" w:color="000000"/>
              <w:bottom w:val="outset" w:sz="6" w:space="0" w:color="000000"/>
              <w:right w:val="outset" w:sz="6" w:space="0" w:color="000000"/>
            </w:tcBorders>
            <w:hideMark/>
          </w:tcPr>
          <w:p w14:paraId="32DAEE91" w14:textId="048DD03B"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Up to $100per unit per day </w:t>
            </w:r>
          </w:p>
        </w:tc>
      </w:tr>
      <w:tr w:rsidR="00472FFB" w:rsidRPr="00B443FB" w14:paraId="4B9B811A"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3643E9AA" w14:textId="1A393063"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collect data required by</w:t>
            </w:r>
            <w:r w:rsidRPr="00B443FB">
              <w:rPr>
                <w:rFonts w:asciiTheme="minorHAnsi" w:eastAsia="Times New Roman" w:hAnsiTheme="minorHAnsi" w:cs="Times"/>
              </w:rPr>
              <w:br/>
              <w:t xml:space="preserve">§10.608(b)(1) and/or (2) of this title (Annual Eligibility Certifications) </w:t>
            </w:r>
          </w:p>
        </w:tc>
        <w:tc>
          <w:tcPr>
            <w:tcW w:w="1376" w:type="pct"/>
            <w:tcBorders>
              <w:top w:val="outset" w:sz="6" w:space="0" w:color="000000"/>
              <w:left w:val="outset" w:sz="6" w:space="0" w:color="000000"/>
              <w:bottom w:val="outset" w:sz="6" w:space="0" w:color="000000"/>
              <w:right w:val="outset" w:sz="6" w:space="0" w:color="000000"/>
            </w:tcBorders>
            <w:hideMark/>
          </w:tcPr>
          <w:p w14:paraId="66680170" w14:textId="2DDBC6E8"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 per violation</w:t>
            </w:r>
          </w:p>
        </w:tc>
        <w:tc>
          <w:tcPr>
            <w:tcW w:w="2099" w:type="pct"/>
            <w:tcBorders>
              <w:top w:val="outset" w:sz="6" w:space="0" w:color="000000"/>
              <w:left w:val="outset" w:sz="6" w:space="0" w:color="000000"/>
              <w:bottom w:val="outset" w:sz="6" w:space="0" w:color="000000"/>
              <w:right w:val="outset" w:sz="6" w:space="0" w:color="000000"/>
            </w:tcBorders>
            <w:hideMark/>
          </w:tcPr>
          <w:p w14:paraId="3F0C07FE" w14:textId="0A23CC36"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 per violation</w:t>
            </w:r>
          </w:p>
        </w:tc>
      </w:tr>
      <w:tr w:rsidR="00472FFB" w:rsidRPr="00B443FB" w14:paraId="75043169"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27B49684" w14:textId="21C77AC0"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Development evicted or terminated</w:t>
            </w:r>
            <w:r w:rsidRPr="00B443FB">
              <w:rPr>
                <w:rFonts w:asciiTheme="minorHAnsi" w:eastAsia="Times New Roman" w:hAnsiTheme="minorHAnsi" w:cs="Times"/>
              </w:rPr>
              <w:br/>
              <w:t>the tenancy of a low-income tenant for</w:t>
            </w:r>
            <w:r w:rsidRPr="00B443FB">
              <w:rPr>
                <w:rFonts w:asciiTheme="minorHAnsi" w:eastAsia="Times New Roman" w:hAnsiTheme="minorHAnsi" w:cs="Times"/>
              </w:rPr>
              <w:br/>
              <w:t>other than good cause</w:t>
            </w:r>
          </w:p>
        </w:tc>
        <w:tc>
          <w:tcPr>
            <w:tcW w:w="1376" w:type="pct"/>
            <w:tcBorders>
              <w:top w:val="outset" w:sz="6" w:space="0" w:color="000000"/>
              <w:left w:val="outset" w:sz="6" w:space="0" w:color="000000"/>
              <w:bottom w:val="outset" w:sz="6" w:space="0" w:color="000000"/>
              <w:right w:val="outset" w:sz="6" w:space="0" w:color="000000"/>
            </w:tcBorders>
            <w:hideMark/>
          </w:tcPr>
          <w:p w14:paraId="55FF1826" w14:textId="76BE08D6"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w:t>
            </w:r>
            <w:r w:rsidRPr="00B443FB">
              <w:rPr>
                <w:rFonts w:asciiTheme="minorHAnsi" w:eastAsia="Times New Roman" w:hAnsiTheme="minorHAnsi" w:cs="Times"/>
              </w:rPr>
              <w:br/>
              <w:t>violation</w:t>
            </w:r>
          </w:p>
        </w:tc>
        <w:tc>
          <w:tcPr>
            <w:tcW w:w="2099" w:type="pct"/>
            <w:tcBorders>
              <w:top w:val="outset" w:sz="6" w:space="0" w:color="000000"/>
              <w:left w:val="outset" w:sz="6" w:space="0" w:color="000000"/>
              <w:bottom w:val="outset" w:sz="6" w:space="0" w:color="000000"/>
              <w:right w:val="outset" w:sz="6" w:space="0" w:color="000000"/>
            </w:tcBorders>
            <w:hideMark/>
          </w:tcPr>
          <w:p w14:paraId="364E4D9C" w14:textId="28A01CC5"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76515718"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3CE87DE2" w14:textId="3D739AB4"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Household income increased above 80</w:t>
            </w:r>
            <w:r w:rsidRPr="00B443FB">
              <w:rPr>
                <w:rFonts w:asciiTheme="minorHAnsi" w:eastAsia="Times New Roman" w:hAnsiTheme="minorHAnsi" w:cs="Times"/>
              </w:rPr>
              <w:br/>
              <w:t>percent at recertification and Owner</w:t>
            </w:r>
            <w:r w:rsidRPr="00B443FB">
              <w:rPr>
                <w:rFonts w:asciiTheme="minorHAnsi" w:eastAsia="Times New Roman" w:hAnsiTheme="minorHAnsi" w:cs="Times"/>
              </w:rPr>
              <w:br/>
              <w:t>failed to properly determine rent</w:t>
            </w:r>
          </w:p>
        </w:tc>
        <w:tc>
          <w:tcPr>
            <w:tcW w:w="1376" w:type="pct"/>
            <w:tcBorders>
              <w:top w:val="outset" w:sz="6" w:space="0" w:color="000000"/>
              <w:left w:val="outset" w:sz="6" w:space="0" w:color="000000"/>
              <w:bottom w:val="outset" w:sz="6" w:space="0" w:color="000000"/>
              <w:right w:val="outset" w:sz="6" w:space="0" w:color="000000"/>
            </w:tcBorders>
            <w:hideMark/>
          </w:tcPr>
          <w:p w14:paraId="3E3220F1" w14:textId="5CCEA2B6"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per violation</w:t>
            </w:r>
          </w:p>
        </w:tc>
        <w:tc>
          <w:tcPr>
            <w:tcW w:w="2099" w:type="pct"/>
            <w:tcBorders>
              <w:top w:val="outset" w:sz="6" w:space="0" w:color="000000"/>
              <w:left w:val="outset" w:sz="6" w:space="0" w:color="000000"/>
              <w:bottom w:val="outset" w:sz="6" w:space="0" w:color="000000"/>
              <w:right w:val="outset" w:sz="6" w:space="0" w:color="000000"/>
            </w:tcBorders>
            <w:hideMark/>
          </w:tcPr>
          <w:p w14:paraId="24268F3A" w14:textId="3B57CE16"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22B10FC8"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2987284F" w14:textId="498B2C6C"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Violation of the Integrated Housing Rule</w:t>
            </w:r>
          </w:p>
        </w:tc>
        <w:tc>
          <w:tcPr>
            <w:tcW w:w="1376" w:type="pct"/>
            <w:tcBorders>
              <w:top w:val="outset" w:sz="6" w:space="0" w:color="000000"/>
              <w:left w:val="outset" w:sz="6" w:space="0" w:color="000000"/>
              <w:bottom w:val="outset" w:sz="6" w:space="0" w:color="000000"/>
              <w:right w:val="outset" w:sz="6" w:space="0" w:color="000000"/>
            </w:tcBorders>
            <w:hideMark/>
          </w:tcPr>
          <w:p w14:paraId="41222A74" w14:textId="7B340A64"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c>
          <w:tcPr>
            <w:tcW w:w="2099" w:type="pct"/>
            <w:tcBorders>
              <w:top w:val="outset" w:sz="6" w:space="0" w:color="000000"/>
              <w:left w:val="outset" w:sz="6" w:space="0" w:color="000000"/>
              <w:bottom w:val="outset" w:sz="6" w:space="0" w:color="000000"/>
              <w:right w:val="outset" w:sz="6" w:space="0" w:color="000000"/>
            </w:tcBorders>
            <w:hideMark/>
          </w:tcPr>
          <w:p w14:paraId="56C3701E" w14:textId="167F9265"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r>
      <w:tr w:rsidR="00472FFB" w:rsidRPr="00B443FB" w14:paraId="4A9270A1"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7DB7402C" w14:textId="5EFE4B3D"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resolve final construction deficiencies within corrective action period</w:t>
            </w:r>
          </w:p>
        </w:tc>
        <w:tc>
          <w:tcPr>
            <w:tcW w:w="1376" w:type="pct"/>
            <w:tcBorders>
              <w:top w:val="outset" w:sz="6" w:space="0" w:color="000000"/>
              <w:left w:val="outset" w:sz="6" w:space="0" w:color="000000"/>
              <w:bottom w:val="outset" w:sz="6" w:space="0" w:color="000000"/>
              <w:right w:val="outset" w:sz="6" w:space="0" w:color="000000"/>
            </w:tcBorders>
          </w:tcPr>
          <w:p w14:paraId="7A25D3FD" w14:textId="7DD17A27"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c>
          <w:tcPr>
            <w:tcW w:w="2099" w:type="pct"/>
            <w:tcBorders>
              <w:top w:val="outset" w:sz="6" w:space="0" w:color="000000"/>
              <w:left w:val="outset" w:sz="6" w:space="0" w:color="000000"/>
              <w:bottom w:val="outset" w:sz="6" w:space="0" w:color="000000"/>
              <w:right w:val="outset" w:sz="6" w:space="0" w:color="000000"/>
            </w:tcBorders>
          </w:tcPr>
          <w:p w14:paraId="1842826E" w14:textId="3104AD7D"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4C9C166E"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6EF7B2F1" w14:textId="25E4E386"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 Noncompliance with the required accessibility requirements such as §504 of the Rehabilitation Act of 1973, the 2010 ADA standards or other accessibility related </w:t>
            </w:r>
            <w:r w:rsidRPr="00B443FB">
              <w:rPr>
                <w:rFonts w:asciiTheme="minorHAnsi" w:eastAsia="Times New Roman" w:hAnsiTheme="minorHAnsi" w:cs="Times"/>
              </w:rPr>
              <w:lastRenderedPageBreak/>
              <w:t>requirements of a Department Rule, including but not limited to those described in Chapter 1, Subchapter B (except those only under the Fair Housing Act for which there is a separate category)</w:t>
            </w:r>
          </w:p>
        </w:tc>
        <w:tc>
          <w:tcPr>
            <w:tcW w:w="1376" w:type="pct"/>
            <w:tcBorders>
              <w:top w:val="outset" w:sz="6" w:space="0" w:color="000000"/>
              <w:left w:val="outset" w:sz="6" w:space="0" w:color="000000"/>
              <w:bottom w:val="outset" w:sz="6" w:space="0" w:color="000000"/>
              <w:right w:val="outset" w:sz="6" w:space="0" w:color="000000"/>
            </w:tcBorders>
          </w:tcPr>
          <w:p w14:paraId="2F98BB51" w14:textId="6F34B977"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lastRenderedPageBreak/>
              <w:t>Up to $1,000 per</w:t>
            </w:r>
            <w:r w:rsidRPr="00B443FB">
              <w:rPr>
                <w:rFonts w:asciiTheme="minorHAnsi" w:eastAsia="Times New Roman" w:hAnsiTheme="minorHAnsi" w:cs="Times"/>
              </w:rPr>
              <w:br/>
              <w:t>violation</w:t>
            </w:r>
          </w:p>
        </w:tc>
        <w:tc>
          <w:tcPr>
            <w:tcW w:w="2099" w:type="pct"/>
            <w:tcBorders>
              <w:top w:val="outset" w:sz="6" w:space="0" w:color="000000"/>
              <w:left w:val="outset" w:sz="6" w:space="0" w:color="000000"/>
              <w:bottom w:val="outset" w:sz="6" w:space="0" w:color="000000"/>
              <w:right w:val="outset" w:sz="6" w:space="0" w:color="000000"/>
            </w:tcBorders>
          </w:tcPr>
          <w:p w14:paraId="1156DE55" w14:textId="4AAD0FBB"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0042035D"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1B15529B" w14:textId="232ACF6B"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Noncompliance with the notice to the Department requirements described in §10.609 of this title </w:t>
            </w:r>
          </w:p>
        </w:tc>
        <w:tc>
          <w:tcPr>
            <w:tcW w:w="1376" w:type="pct"/>
            <w:tcBorders>
              <w:top w:val="outset" w:sz="6" w:space="0" w:color="000000"/>
              <w:left w:val="outset" w:sz="6" w:space="0" w:color="000000"/>
              <w:bottom w:val="outset" w:sz="6" w:space="0" w:color="000000"/>
              <w:right w:val="outset" w:sz="6" w:space="0" w:color="000000"/>
            </w:tcBorders>
          </w:tcPr>
          <w:p w14:paraId="1C0EB337" w14:textId="6611FF41"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c>
          <w:tcPr>
            <w:tcW w:w="2099" w:type="pct"/>
            <w:tcBorders>
              <w:top w:val="outset" w:sz="6" w:space="0" w:color="000000"/>
              <w:left w:val="outset" w:sz="6" w:space="0" w:color="000000"/>
              <w:bottom w:val="outset" w:sz="6" w:space="0" w:color="000000"/>
              <w:right w:val="outset" w:sz="6" w:space="0" w:color="000000"/>
            </w:tcBorders>
          </w:tcPr>
          <w:p w14:paraId="7AFE1394" w14:textId="7D322E03"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r>
      <w:tr w:rsidR="00472FFB" w:rsidRPr="00B443FB" w14:paraId="343968A0"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hideMark/>
          </w:tcPr>
          <w:p w14:paraId="7F87BE27" w14:textId="19B0A541"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provide a reasonable accommodation under 10 TAC, Chapter 1, Subchapter B</w:t>
            </w:r>
          </w:p>
        </w:tc>
        <w:tc>
          <w:tcPr>
            <w:tcW w:w="1376" w:type="pct"/>
            <w:tcBorders>
              <w:top w:val="outset" w:sz="6" w:space="0" w:color="000000"/>
              <w:left w:val="outset" w:sz="6" w:space="0" w:color="000000"/>
              <w:bottom w:val="outset" w:sz="6" w:space="0" w:color="000000"/>
              <w:right w:val="outset" w:sz="6" w:space="0" w:color="000000"/>
            </w:tcBorders>
            <w:hideMark/>
          </w:tcPr>
          <w:p w14:paraId="1596E74B" w14:textId="770FC311"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Up to $1,000 per violation </w:t>
            </w:r>
          </w:p>
        </w:tc>
        <w:tc>
          <w:tcPr>
            <w:tcW w:w="2099" w:type="pct"/>
            <w:tcBorders>
              <w:top w:val="outset" w:sz="6" w:space="0" w:color="000000"/>
              <w:left w:val="outset" w:sz="6" w:space="0" w:color="000000"/>
              <w:bottom w:val="outset" w:sz="6" w:space="0" w:color="000000"/>
              <w:right w:val="outset" w:sz="6" w:space="0" w:color="000000"/>
            </w:tcBorders>
            <w:hideMark/>
          </w:tcPr>
          <w:p w14:paraId="5933D32E" w14:textId="5AE5E64A"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1AEE6FF1"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196F7E98" w14:textId="371A4ABB" w:rsidR="00472FFB" w:rsidRPr="00B443FB" w:rsidDel="00FD6C36"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Violation of the Fair Housing Act and §1.205 of this </w:t>
            </w:r>
            <w:r>
              <w:rPr>
                <w:rFonts w:asciiTheme="minorHAnsi" w:eastAsia="Times New Roman" w:hAnsiTheme="minorHAnsi" w:cs="Times"/>
              </w:rPr>
              <w:t>T</w:t>
            </w:r>
            <w:r w:rsidRPr="00B443FB">
              <w:rPr>
                <w:rFonts w:asciiTheme="minorHAnsi" w:eastAsia="Times New Roman" w:hAnsiTheme="minorHAnsi" w:cs="Times"/>
              </w:rPr>
              <w:t>itle</w:t>
            </w:r>
          </w:p>
        </w:tc>
        <w:tc>
          <w:tcPr>
            <w:tcW w:w="1376" w:type="pct"/>
            <w:tcBorders>
              <w:top w:val="outset" w:sz="6" w:space="0" w:color="000000"/>
              <w:left w:val="outset" w:sz="6" w:space="0" w:color="000000"/>
              <w:bottom w:val="outset" w:sz="6" w:space="0" w:color="000000"/>
              <w:right w:val="outset" w:sz="6" w:space="0" w:color="000000"/>
            </w:tcBorders>
          </w:tcPr>
          <w:p w14:paraId="65585719" w14:textId="685BA907"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c>
          <w:tcPr>
            <w:tcW w:w="2099" w:type="pct"/>
            <w:tcBorders>
              <w:top w:val="outset" w:sz="6" w:space="0" w:color="000000"/>
              <w:left w:val="outset" w:sz="6" w:space="0" w:color="000000"/>
              <w:bottom w:val="outset" w:sz="6" w:space="0" w:color="000000"/>
              <w:right w:val="outset" w:sz="6" w:space="0" w:color="000000"/>
            </w:tcBorders>
          </w:tcPr>
          <w:p w14:paraId="091237AC" w14:textId="35363BAD"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472FFB" w:rsidRPr="00B443FB" w14:paraId="7BB867CF"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48493BB4" w14:textId="0D65EDE7"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reserve units for Section 811 participants (Section 811 PRA only)</w:t>
            </w:r>
          </w:p>
        </w:tc>
        <w:tc>
          <w:tcPr>
            <w:tcW w:w="1376" w:type="pct"/>
            <w:tcBorders>
              <w:top w:val="outset" w:sz="6" w:space="0" w:color="000000"/>
              <w:left w:val="outset" w:sz="6" w:space="0" w:color="000000"/>
              <w:bottom w:val="outset" w:sz="6" w:space="0" w:color="000000"/>
              <w:right w:val="outset" w:sz="6" w:space="0" w:color="000000"/>
            </w:tcBorders>
          </w:tcPr>
          <w:p w14:paraId="3C844959" w14:textId="17588D21"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Up to $750 </w:t>
            </w:r>
          </w:p>
        </w:tc>
        <w:tc>
          <w:tcPr>
            <w:tcW w:w="2099" w:type="pct"/>
            <w:tcBorders>
              <w:top w:val="outset" w:sz="6" w:space="0" w:color="000000"/>
              <w:left w:val="outset" w:sz="6" w:space="0" w:color="000000"/>
              <w:bottom w:val="outset" w:sz="6" w:space="0" w:color="000000"/>
              <w:right w:val="outset" w:sz="6" w:space="0" w:color="000000"/>
            </w:tcBorders>
          </w:tcPr>
          <w:p w14:paraId="39FEB6D2" w14:textId="760A13E2"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472FFB" w:rsidRPr="00B443FB" w14:paraId="12310872"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6C736203" w14:textId="39CCA10D"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notify the Department of the availability of Section 811 units (Section 811 PRA only)</w:t>
            </w:r>
          </w:p>
        </w:tc>
        <w:tc>
          <w:tcPr>
            <w:tcW w:w="1376" w:type="pct"/>
            <w:tcBorders>
              <w:top w:val="outset" w:sz="6" w:space="0" w:color="000000"/>
              <w:left w:val="outset" w:sz="6" w:space="0" w:color="000000"/>
              <w:bottom w:val="outset" w:sz="6" w:space="0" w:color="000000"/>
              <w:right w:val="outset" w:sz="6" w:space="0" w:color="000000"/>
            </w:tcBorders>
          </w:tcPr>
          <w:p w14:paraId="218409FF" w14:textId="340479FD"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$750</w:t>
            </w:r>
          </w:p>
        </w:tc>
        <w:tc>
          <w:tcPr>
            <w:tcW w:w="2099" w:type="pct"/>
            <w:tcBorders>
              <w:top w:val="outset" w:sz="6" w:space="0" w:color="000000"/>
              <w:left w:val="outset" w:sz="6" w:space="0" w:color="000000"/>
              <w:bottom w:val="outset" w:sz="6" w:space="0" w:color="000000"/>
              <w:right w:val="outset" w:sz="6" w:space="0" w:color="000000"/>
            </w:tcBorders>
          </w:tcPr>
          <w:p w14:paraId="61804DAE" w14:textId="6E3F93A1"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472FFB" w:rsidRPr="00B443FB" w14:paraId="095180AF"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7E1DB708" w14:textId="27371EA7"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Owner failed to check criminal history and drug use of household (as required</w:t>
            </w:r>
            <w:r>
              <w:rPr>
                <w:rFonts w:asciiTheme="minorHAnsi" w:eastAsia="Times New Roman" w:hAnsiTheme="minorHAnsi" w:cs="Times"/>
              </w:rPr>
              <w:t xml:space="preserve"> by Department Rule</w:t>
            </w:r>
            <w:r w:rsidRPr="00B443FB">
              <w:rPr>
                <w:rFonts w:asciiTheme="minorHAnsi" w:eastAsia="Times New Roman" w:hAnsiTheme="minorHAnsi" w:cs="Times"/>
              </w:rPr>
              <w:t>)</w:t>
            </w:r>
          </w:p>
        </w:tc>
        <w:tc>
          <w:tcPr>
            <w:tcW w:w="1376" w:type="pct"/>
            <w:tcBorders>
              <w:top w:val="outset" w:sz="6" w:space="0" w:color="000000"/>
              <w:left w:val="outset" w:sz="6" w:space="0" w:color="000000"/>
              <w:bottom w:val="outset" w:sz="6" w:space="0" w:color="000000"/>
              <w:right w:val="outset" w:sz="6" w:space="0" w:color="000000"/>
            </w:tcBorders>
          </w:tcPr>
          <w:p w14:paraId="5503A1E5" w14:textId="71C93AD7"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w:t>
            </w:r>
          </w:p>
        </w:tc>
        <w:tc>
          <w:tcPr>
            <w:tcW w:w="2099" w:type="pct"/>
            <w:tcBorders>
              <w:top w:val="outset" w:sz="6" w:space="0" w:color="000000"/>
              <w:left w:val="outset" w:sz="6" w:space="0" w:color="000000"/>
              <w:bottom w:val="outset" w:sz="6" w:space="0" w:color="000000"/>
              <w:right w:val="outset" w:sz="6" w:space="0" w:color="000000"/>
            </w:tcBorders>
          </w:tcPr>
          <w:p w14:paraId="0766AEED" w14:textId="5AE64A34"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r>
      <w:tr w:rsidR="00472FFB" w:rsidRPr="00B443FB" w14:paraId="5CFB6FCD"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16C27119" w14:textId="1F4C7940"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Failure to use Enterprise Income Verification System (section 811 PRA only) </w:t>
            </w:r>
          </w:p>
        </w:tc>
        <w:tc>
          <w:tcPr>
            <w:tcW w:w="1376" w:type="pct"/>
            <w:tcBorders>
              <w:top w:val="outset" w:sz="6" w:space="0" w:color="000000"/>
              <w:left w:val="outset" w:sz="6" w:space="0" w:color="000000"/>
              <w:bottom w:val="outset" w:sz="6" w:space="0" w:color="000000"/>
              <w:right w:val="outset" w:sz="6" w:space="0" w:color="000000"/>
            </w:tcBorders>
          </w:tcPr>
          <w:p w14:paraId="3C799669" w14:textId="116F6ACE" w:rsidR="00472FFB" w:rsidRPr="00B443FB" w:rsidRDefault="00472FFB" w:rsidP="0027134A">
            <w:pPr>
              <w:spacing w:line="240" w:lineRule="auto"/>
              <w:rPr>
                <w:rFonts w:asciiTheme="minorHAnsi" w:eastAsia="Times New Roman" w:hAnsiTheme="minorHAnsi" w:cs="Times"/>
                <w:highlight w:val="yellow"/>
              </w:rPr>
            </w:pPr>
            <w:r w:rsidRPr="00B443FB">
              <w:rPr>
                <w:rFonts w:asciiTheme="minorHAnsi" w:eastAsia="Times New Roman" w:hAnsiTheme="minorHAnsi" w:cs="Times"/>
              </w:rPr>
              <w:t>Up to $250</w:t>
            </w:r>
          </w:p>
        </w:tc>
        <w:tc>
          <w:tcPr>
            <w:tcW w:w="2099" w:type="pct"/>
            <w:tcBorders>
              <w:top w:val="outset" w:sz="6" w:space="0" w:color="000000"/>
              <w:left w:val="outset" w:sz="6" w:space="0" w:color="000000"/>
              <w:bottom w:val="outset" w:sz="6" w:space="0" w:color="000000"/>
              <w:right w:val="outset" w:sz="6" w:space="0" w:color="000000"/>
            </w:tcBorders>
          </w:tcPr>
          <w:p w14:paraId="1F8C1B2E" w14:textId="7A2CA908" w:rsidR="00472FFB" w:rsidRPr="00B443FB" w:rsidRDefault="00472FFB" w:rsidP="0027134A">
            <w:pPr>
              <w:spacing w:line="240" w:lineRule="auto"/>
              <w:rPr>
                <w:rFonts w:asciiTheme="minorHAnsi" w:eastAsia="Times New Roman" w:hAnsiTheme="minorHAnsi" w:cs="Times"/>
                <w:highlight w:val="yellow"/>
              </w:rPr>
            </w:pPr>
            <w:r w:rsidRPr="00B443FB">
              <w:rPr>
                <w:rFonts w:asciiTheme="minorHAnsi" w:eastAsia="Times New Roman" w:hAnsiTheme="minorHAnsi" w:cs="Times"/>
              </w:rPr>
              <w:t>Up to $500</w:t>
            </w:r>
          </w:p>
        </w:tc>
      </w:tr>
      <w:tr w:rsidR="00472FFB" w:rsidRPr="00B443FB" w14:paraId="28589C52"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34FCFF3D" w14:textId="073F8052"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properly document and calculate adjusted income (section 811 PRA only)</w:t>
            </w:r>
          </w:p>
        </w:tc>
        <w:tc>
          <w:tcPr>
            <w:tcW w:w="1376" w:type="pct"/>
            <w:tcBorders>
              <w:top w:val="outset" w:sz="6" w:space="0" w:color="000000"/>
              <w:left w:val="outset" w:sz="6" w:space="0" w:color="000000"/>
              <w:bottom w:val="outset" w:sz="6" w:space="0" w:color="000000"/>
              <w:right w:val="outset" w:sz="6" w:space="0" w:color="000000"/>
            </w:tcBorders>
          </w:tcPr>
          <w:p w14:paraId="68D892FC" w14:textId="3A0ED725"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per violation</w:t>
            </w:r>
          </w:p>
        </w:tc>
        <w:tc>
          <w:tcPr>
            <w:tcW w:w="2099" w:type="pct"/>
            <w:tcBorders>
              <w:top w:val="outset" w:sz="6" w:space="0" w:color="000000"/>
              <w:left w:val="outset" w:sz="6" w:space="0" w:color="000000"/>
              <w:bottom w:val="outset" w:sz="6" w:space="0" w:color="000000"/>
              <w:right w:val="outset" w:sz="6" w:space="0" w:color="000000"/>
            </w:tcBorders>
          </w:tcPr>
          <w:p w14:paraId="578BC6DB" w14:textId="1DCA4B7B"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28A2645D"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6A71CAAE" w14:textId="468E1479" w:rsidR="00472FFB" w:rsidRPr="00B443FB" w:rsidRDefault="00472FFB" w:rsidP="0027134A">
            <w:pPr>
              <w:spacing w:line="240" w:lineRule="auto"/>
              <w:rPr>
                <w:rFonts w:asciiTheme="minorHAnsi" w:eastAsia="Times New Roman" w:hAnsiTheme="minorHAnsi" w:cs="Times"/>
                <w:highlight w:val="yellow"/>
              </w:rPr>
            </w:pPr>
            <w:r w:rsidRPr="00B443FB">
              <w:rPr>
                <w:rFonts w:asciiTheme="minorHAnsi" w:eastAsia="Times New Roman" w:hAnsiTheme="minorHAnsi" w:cs="Times"/>
              </w:rPr>
              <w:lastRenderedPageBreak/>
              <w:t>Failure to use required HUD forms (Section 811 PRA only)</w:t>
            </w:r>
          </w:p>
        </w:tc>
        <w:tc>
          <w:tcPr>
            <w:tcW w:w="1376" w:type="pct"/>
            <w:tcBorders>
              <w:top w:val="outset" w:sz="6" w:space="0" w:color="000000"/>
              <w:left w:val="outset" w:sz="6" w:space="0" w:color="000000"/>
              <w:bottom w:val="outset" w:sz="6" w:space="0" w:color="000000"/>
              <w:right w:val="outset" w:sz="6" w:space="0" w:color="000000"/>
            </w:tcBorders>
          </w:tcPr>
          <w:p w14:paraId="2A796DB3" w14:textId="4384D7DA"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w:t>
            </w:r>
          </w:p>
        </w:tc>
        <w:tc>
          <w:tcPr>
            <w:tcW w:w="2099" w:type="pct"/>
            <w:tcBorders>
              <w:top w:val="outset" w:sz="6" w:space="0" w:color="000000"/>
              <w:left w:val="outset" w:sz="6" w:space="0" w:color="000000"/>
              <w:bottom w:val="outset" w:sz="6" w:space="0" w:color="000000"/>
              <w:right w:val="outset" w:sz="6" w:space="0" w:color="000000"/>
            </w:tcBorders>
          </w:tcPr>
          <w:p w14:paraId="0F722281" w14:textId="3C547FD2"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r>
      <w:tr w:rsidR="00472FFB" w:rsidRPr="00B443FB" w14:paraId="73CE4FAF"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78F111C8" w14:textId="0E025538"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Accepted funding that limits 811</w:t>
            </w:r>
            <w:r>
              <w:rPr>
                <w:rFonts w:asciiTheme="minorHAnsi" w:eastAsia="Times New Roman" w:hAnsiTheme="minorHAnsi" w:cs="Times"/>
              </w:rPr>
              <w:t xml:space="preserve"> PRA</w:t>
            </w:r>
            <w:r w:rsidRPr="00B443FB">
              <w:rPr>
                <w:rFonts w:asciiTheme="minorHAnsi" w:eastAsia="Times New Roman" w:hAnsiTheme="minorHAnsi" w:cs="Times"/>
              </w:rPr>
              <w:t xml:space="preserve"> participation</w:t>
            </w:r>
          </w:p>
        </w:tc>
        <w:tc>
          <w:tcPr>
            <w:tcW w:w="1376" w:type="pct"/>
            <w:tcBorders>
              <w:top w:val="outset" w:sz="6" w:space="0" w:color="000000"/>
              <w:left w:val="outset" w:sz="6" w:space="0" w:color="000000"/>
              <w:bottom w:val="outset" w:sz="6" w:space="0" w:color="000000"/>
              <w:right w:val="outset" w:sz="6" w:space="0" w:color="000000"/>
            </w:tcBorders>
          </w:tcPr>
          <w:p w14:paraId="5344293B" w14:textId="3554334B"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c>
          <w:tcPr>
            <w:tcW w:w="2099" w:type="pct"/>
            <w:tcBorders>
              <w:top w:val="outset" w:sz="6" w:space="0" w:color="000000"/>
              <w:left w:val="outset" w:sz="6" w:space="0" w:color="000000"/>
              <w:bottom w:val="outset" w:sz="6" w:space="0" w:color="000000"/>
              <w:right w:val="outset" w:sz="6" w:space="0" w:color="000000"/>
            </w:tcBorders>
          </w:tcPr>
          <w:p w14:paraId="78EE94C5" w14:textId="18712C89"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472FFB" w:rsidRPr="00B443FB" w14:paraId="3F0E4C20"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4CD3F22C" w14:textId="76E641B2"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properly calculate resident portion of rent (Section 811 PRA only)</w:t>
            </w:r>
          </w:p>
        </w:tc>
        <w:tc>
          <w:tcPr>
            <w:tcW w:w="1376" w:type="pct"/>
            <w:tcBorders>
              <w:top w:val="outset" w:sz="6" w:space="0" w:color="000000"/>
              <w:left w:val="outset" w:sz="6" w:space="0" w:color="000000"/>
              <w:bottom w:val="outset" w:sz="6" w:space="0" w:color="000000"/>
              <w:right w:val="outset" w:sz="6" w:space="0" w:color="000000"/>
            </w:tcBorders>
          </w:tcPr>
          <w:p w14:paraId="79FE56BA" w14:textId="3098816B"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 per unit per day</w:t>
            </w:r>
          </w:p>
        </w:tc>
        <w:tc>
          <w:tcPr>
            <w:tcW w:w="2099" w:type="pct"/>
            <w:tcBorders>
              <w:top w:val="outset" w:sz="6" w:space="0" w:color="000000"/>
              <w:left w:val="outset" w:sz="6" w:space="0" w:color="000000"/>
              <w:bottom w:val="outset" w:sz="6" w:space="0" w:color="000000"/>
              <w:right w:val="outset" w:sz="6" w:space="0" w:color="000000"/>
            </w:tcBorders>
          </w:tcPr>
          <w:p w14:paraId="2D52081F" w14:textId="3AC24B16"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$150 per unit per day</w:t>
            </w:r>
          </w:p>
        </w:tc>
      </w:tr>
      <w:tr w:rsidR="00472FFB" w:rsidRPr="00B443FB" w14:paraId="74A31415"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228B50AD" w14:textId="5BB6B09B"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use HUD model Lease (Section 811 PRA only)</w:t>
            </w:r>
          </w:p>
        </w:tc>
        <w:tc>
          <w:tcPr>
            <w:tcW w:w="1376" w:type="pct"/>
            <w:tcBorders>
              <w:top w:val="outset" w:sz="6" w:space="0" w:color="000000"/>
              <w:left w:val="outset" w:sz="6" w:space="0" w:color="000000"/>
              <w:bottom w:val="outset" w:sz="6" w:space="0" w:color="000000"/>
              <w:right w:val="outset" w:sz="6" w:space="0" w:color="000000"/>
            </w:tcBorders>
          </w:tcPr>
          <w:p w14:paraId="55A2C9A6" w14:textId="05AB2A4A"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c>
          <w:tcPr>
            <w:tcW w:w="2099" w:type="pct"/>
            <w:tcBorders>
              <w:top w:val="outset" w:sz="6" w:space="0" w:color="000000"/>
              <w:left w:val="outset" w:sz="6" w:space="0" w:color="000000"/>
              <w:bottom w:val="outset" w:sz="6" w:space="0" w:color="000000"/>
              <w:right w:val="outset" w:sz="6" w:space="0" w:color="000000"/>
            </w:tcBorders>
          </w:tcPr>
          <w:p w14:paraId="611EC61C" w14:textId="224EF507"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472FFB" w:rsidRPr="00B443FB" w14:paraId="550B3857"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2F4669C2" w14:textId="00F85CA5"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disperse 811 PRA Units according to program requirements (relates to disbursement throughout the Development. Section 811 PRA only)</w:t>
            </w:r>
          </w:p>
        </w:tc>
        <w:tc>
          <w:tcPr>
            <w:tcW w:w="1376" w:type="pct"/>
            <w:tcBorders>
              <w:top w:val="outset" w:sz="6" w:space="0" w:color="000000"/>
              <w:left w:val="outset" w:sz="6" w:space="0" w:color="000000"/>
              <w:bottom w:val="outset" w:sz="6" w:space="0" w:color="000000"/>
              <w:right w:val="outset" w:sz="6" w:space="0" w:color="000000"/>
            </w:tcBorders>
          </w:tcPr>
          <w:p w14:paraId="3B540255" w14:textId="49C124AE"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c>
          <w:tcPr>
            <w:tcW w:w="2099" w:type="pct"/>
            <w:tcBorders>
              <w:top w:val="outset" w:sz="6" w:space="0" w:color="000000"/>
              <w:left w:val="outset" w:sz="6" w:space="0" w:color="000000"/>
              <w:bottom w:val="outset" w:sz="6" w:space="0" w:color="000000"/>
              <w:right w:val="outset" w:sz="6" w:space="0" w:color="000000"/>
            </w:tcBorders>
          </w:tcPr>
          <w:p w14:paraId="20EA3BF7" w14:textId="1D1E2FF0"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472FFB" w:rsidRPr="00B443FB" w14:paraId="27F96A44"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2A7D31A1" w14:textId="6E41B43A"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conduct interim certifications (Section 811 PRA only)</w:t>
            </w:r>
          </w:p>
        </w:tc>
        <w:tc>
          <w:tcPr>
            <w:tcW w:w="1376" w:type="pct"/>
            <w:tcBorders>
              <w:top w:val="outset" w:sz="6" w:space="0" w:color="000000"/>
              <w:left w:val="outset" w:sz="6" w:space="0" w:color="000000"/>
              <w:bottom w:val="outset" w:sz="6" w:space="0" w:color="000000"/>
              <w:right w:val="outset" w:sz="6" w:space="0" w:color="000000"/>
            </w:tcBorders>
          </w:tcPr>
          <w:p w14:paraId="1FE5C708" w14:textId="055AC290"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 per violation</w:t>
            </w:r>
          </w:p>
        </w:tc>
        <w:tc>
          <w:tcPr>
            <w:tcW w:w="2099" w:type="pct"/>
            <w:tcBorders>
              <w:top w:val="outset" w:sz="6" w:space="0" w:color="000000"/>
              <w:left w:val="outset" w:sz="6" w:space="0" w:color="000000"/>
              <w:bottom w:val="outset" w:sz="6" w:space="0" w:color="000000"/>
              <w:right w:val="outset" w:sz="6" w:space="0" w:color="000000"/>
            </w:tcBorders>
          </w:tcPr>
          <w:p w14:paraId="4D1133B4" w14:textId="01714AE0"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  per violation</w:t>
            </w:r>
          </w:p>
        </w:tc>
      </w:tr>
      <w:tr w:rsidR="00472FFB" w:rsidRPr="00B443FB" w14:paraId="0D88BEFC"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266E7F6E" w14:textId="56BD12F1"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Failure to conduct annual income recertification (Section 811 PRA only) </w:t>
            </w:r>
          </w:p>
        </w:tc>
        <w:tc>
          <w:tcPr>
            <w:tcW w:w="1376" w:type="pct"/>
            <w:tcBorders>
              <w:top w:val="outset" w:sz="6" w:space="0" w:color="000000"/>
              <w:left w:val="outset" w:sz="6" w:space="0" w:color="000000"/>
              <w:bottom w:val="outset" w:sz="6" w:space="0" w:color="000000"/>
              <w:right w:val="outset" w:sz="6" w:space="0" w:color="000000"/>
            </w:tcBorders>
          </w:tcPr>
          <w:p w14:paraId="781B78CC" w14:textId="61B3CF53"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 per violation</w:t>
            </w:r>
          </w:p>
        </w:tc>
        <w:tc>
          <w:tcPr>
            <w:tcW w:w="2099" w:type="pct"/>
            <w:tcBorders>
              <w:top w:val="outset" w:sz="6" w:space="0" w:color="000000"/>
              <w:left w:val="outset" w:sz="6" w:space="0" w:color="000000"/>
              <w:bottom w:val="outset" w:sz="6" w:space="0" w:color="000000"/>
              <w:right w:val="outset" w:sz="6" w:space="0" w:color="000000"/>
            </w:tcBorders>
          </w:tcPr>
          <w:p w14:paraId="50F62225" w14:textId="1B38EDF3"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 per violation</w:t>
            </w:r>
          </w:p>
        </w:tc>
      </w:tr>
      <w:tr w:rsidR="00472FFB" w:rsidRPr="00B443FB" w14:paraId="646B1300"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52137F58" w14:textId="7FE91C8F"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 xml:space="preserve">Asset Management Division has reported that Development has failed to </w:t>
            </w:r>
            <w:r>
              <w:rPr>
                <w:rFonts w:asciiTheme="minorHAnsi" w:eastAsia="Times New Roman" w:hAnsiTheme="minorHAnsi" w:cs="Times"/>
              </w:rPr>
              <w:t xml:space="preserve">submit </w:t>
            </w:r>
            <w:r w:rsidRPr="00B443FB">
              <w:rPr>
                <w:rFonts w:asciiTheme="minorHAnsi" w:eastAsia="Times New Roman" w:hAnsiTheme="minorHAnsi" w:cs="Times"/>
              </w:rPr>
              <w:t xml:space="preserve">rents </w:t>
            </w:r>
            <w:r>
              <w:rPr>
                <w:rFonts w:asciiTheme="minorHAnsi" w:eastAsia="Times New Roman" w:hAnsiTheme="minorHAnsi" w:cs="Times"/>
              </w:rPr>
              <w:t xml:space="preserve">for review </w:t>
            </w:r>
            <w:r w:rsidRPr="00B443FB">
              <w:rPr>
                <w:rFonts w:asciiTheme="minorHAnsi" w:eastAsia="Times New Roman" w:hAnsiTheme="minorHAnsi" w:cs="Times"/>
              </w:rPr>
              <w:t>on an annual basis in accordance with §10.403 of this</w:t>
            </w:r>
            <w:r>
              <w:rPr>
                <w:rFonts w:asciiTheme="minorHAnsi" w:eastAsia="Times New Roman" w:hAnsiTheme="minorHAnsi" w:cs="Times"/>
              </w:rPr>
              <w:t xml:space="preserve"> Title</w:t>
            </w:r>
            <w:r w:rsidRPr="00B443FB">
              <w:rPr>
                <w:rFonts w:asciiTheme="minorHAnsi" w:eastAsia="Times New Roman" w:hAnsiTheme="minorHAnsi" w:cs="Times"/>
              </w:rPr>
              <w:t xml:space="preserve"> </w:t>
            </w:r>
          </w:p>
        </w:tc>
        <w:tc>
          <w:tcPr>
            <w:tcW w:w="1376" w:type="pct"/>
            <w:tcBorders>
              <w:top w:val="outset" w:sz="6" w:space="0" w:color="000000"/>
              <w:left w:val="outset" w:sz="6" w:space="0" w:color="000000"/>
              <w:bottom w:val="outset" w:sz="6" w:space="0" w:color="000000"/>
              <w:right w:val="outset" w:sz="6" w:space="0" w:color="000000"/>
            </w:tcBorders>
          </w:tcPr>
          <w:p w14:paraId="51093CD7" w14:textId="7C7F343A" w:rsidR="00472FFB" w:rsidRPr="00B443FB" w:rsidRDefault="00472FFB" w:rsidP="0027134A">
            <w:pPr>
              <w:spacing w:line="240" w:lineRule="auto"/>
              <w:rPr>
                <w:rFonts w:asciiTheme="minorHAnsi" w:eastAsia="Times New Roman" w:hAnsiTheme="minorHAnsi" w:cs="Times"/>
                <w:highlight w:val="yellow"/>
              </w:rPr>
            </w:pPr>
            <w:r w:rsidRPr="00B443FB">
              <w:rPr>
                <w:rFonts w:asciiTheme="minorHAnsi" w:eastAsia="Times New Roman" w:hAnsiTheme="minorHAnsi" w:cs="Times"/>
              </w:rPr>
              <w:t>Up to $750</w:t>
            </w:r>
          </w:p>
        </w:tc>
        <w:tc>
          <w:tcPr>
            <w:tcW w:w="2099" w:type="pct"/>
            <w:tcBorders>
              <w:top w:val="outset" w:sz="6" w:space="0" w:color="000000"/>
              <w:left w:val="outset" w:sz="6" w:space="0" w:color="000000"/>
              <w:bottom w:val="outset" w:sz="6" w:space="0" w:color="000000"/>
              <w:right w:val="outset" w:sz="6" w:space="0" w:color="000000"/>
            </w:tcBorders>
          </w:tcPr>
          <w:p w14:paraId="6A6FF731" w14:textId="1BDC3A49" w:rsidR="00472FFB" w:rsidRPr="00B443FB" w:rsidRDefault="00472FFB" w:rsidP="0027134A">
            <w:pPr>
              <w:spacing w:line="240" w:lineRule="auto"/>
              <w:rPr>
                <w:rFonts w:asciiTheme="minorHAnsi" w:eastAsia="Times New Roman" w:hAnsiTheme="minorHAnsi" w:cs="Times"/>
                <w:highlight w:val="yellow"/>
              </w:rPr>
            </w:pPr>
            <w:r w:rsidRPr="00B443FB">
              <w:rPr>
                <w:rFonts w:asciiTheme="minorHAnsi" w:eastAsia="Times New Roman" w:hAnsiTheme="minorHAnsi" w:cs="Times"/>
              </w:rPr>
              <w:t>Up to $1,000</w:t>
            </w:r>
          </w:p>
        </w:tc>
      </w:tr>
      <w:tr w:rsidR="00472FFB" w:rsidRPr="00B443FB" w14:paraId="29071976"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7AC4DF08" w14:textId="333AD7DA"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maintain status as a qualified Community Housing Development Organization (CHDO)</w:t>
            </w:r>
          </w:p>
        </w:tc>
        <w:tc>
          <w:tcPr>
            <w:tcW w:w="1376" w:type="pct"/>
            <w:tcBorders>
              <w:top w:val="outset" w:sz="6" w:space="0" w:color="000000"/>
              <w:left w:val="outset" w:sz="6" w:space="0" w:color="000000"/>
              <w:bottom w:val="outset" w:sz="6" w:space="0" w:color="000000"/>
              <w:right w:val="outset" w:sz="6" w:space="0" w:color="000000"/>
            </w:tcBorders>
          </w:tcPr>
          <w:p w14:paraId="4C4F4CF4" w14:textId="77777777" w:rsidR="00472FFB" w:rsidRPr="005932B0" w:rsidRDefault="00472FFB" w:rsidP="00CB5E25">
            <w:pPr>
              <w:autoSpaceDE w:val="0"/>
              <w:autoSpaceDN w:val="0"/>
              <w:adjustRightInd w:val="0"/>
              <w:spacing w:line="240" w:lineRule="auto"/>
              <w:rPr>
                <w:rFonts w:asciiTheme="minorHAnsi" w:eastAsia="Times New Roman" w:hAnsiTheme="minorHAnsi" w:cs="Times"/>
              </w:rPr>
            </w:pPr>
            <w:r w:rsidRPr="005932B0">
              <w:rPr>
                <w:rFonts w:asciiTheme="minorHAnsi" w:eastAsia="Times New Roman" w:hAnsiTheme="minorHAnsi" w:cs="Times"/>
              </w:rPr>
              <w:t>Up to $1,000 +</w:t>
            </w:r>
          </w:p>
          <w:p w14:paraId="19480FC6" w14:textId="77777777" w:rsidR="00472FFB" w:rsidRPr="005932B0" w:rsidRDefault="00472FFB" w:rsidP="00CB5E25">
            <w:pPr>
              <w:autoSpaceDE w:val="0"/>
              <w:autoSpaceDN w:val="0"/>
              <w:adjustRightInd w:val="0"/>
              <w:spacing w:line="240" w:lineRule="auto"/>
              <w:rPr>
                <w:rFonts w:asciiTheme="minorHAnsi" w:eastAsia="Times New Roman" w:hAnsiTheme="minorHAnsi" w:cs="Times"/>
              </w:rPr>
            </w:pPr>
            <w:r w:rsidRPr="005932B0">
              <w:rPr>
                <w:rFonts w:asciiTheme="minorHAnsi" w:eastAsia="Times New Roman" w:hAnsiTheme="minorHAnsi" w:cs="Times"/>
              </w:rPr>
              <w:t>up to $100 for each day the</w:t>
            </w:r>
          </w:p>
          <w:p w14:paraId="7C91DE51" w14:textId="77777777" w:rsidR="00472FFB" w:rsidRPr="005932B0" w:rsidRDefault="00472FFB" w:rsidP="00CB5E25">
            <w:pPr>
              <w:autoSpaceDE w:val="0"/>
              <w:autoSpaceDN w:val="0"/>
              <w:adjustRightInd w:val="0"/>
              <w:spacing w:line="240" w:lineRule="auto"/>
              <w:rPr>
                <w:rFonts w:asciiTheme="minorHAnsi" w:eastAsia="Times New Roman" w:hAnsiTheme="minorHAnsi" w:cs="Times"/>
              </w:rPr>
            </w:pPr>
            <w:r w:rsidRPr="005932B0">
              <w:rPr>
                <w:rFonts w:asciiTheme="minorHAnsi" w:eastAsia="Times New Roman" w:hAnsiTheme="minorHAnsi" w:cs="Times"/>
              </w:rPr>
              <w:t>entity failed to</w:t>
            </w:r>
          </w:p>
          <w:p w14:paraId="6DAD35A8" w14:textId="030ABCE5" w:rsidR="00472FFB" w:rsidRPr="00B443FB" w:rsidRDefault="00472FFB" w:rsidP="0027134A">
            <w:pPr>
              <w:spacing w:line="240" w:lineRule="auto"/>
              <w:rPr>
                <w:rFonts w:asciiTheme="minorHAnsi" w:eastAsia="Times New Roman" w:hAnsiTheme="minorHAnsi" w:cs="Times"/>
              </w:rPr>
            </w:pPr>
            <w:r w:rsidRPr="005932B0">
              <w:rPr>
                <w:rFonts w:asciiTheme="minorHAnsi" w:eastAsia="Times New Roman" w:hAnsiTheme="minorHAnsi" w:cs="Times"/>
              </w:rPr>
              <w:t>comply</w:t>
            </w:r>
          </w:p>
        </w:tc>
        <w:tc>
          <w:tcPr>
            <w:tcW w:w="2099" w:type="pct"/>
            <w:tcBorders>
              <w:top w:val="outset" w:sz="6" w:space="0" w:color="000000"/>
              <w:left w:val="outset" w:sz="6" w:space="0" w:color="000000"/>
              <w:bottom w:val="outset" w:sz="6" w:space="0" w:color="000000"/>
              <w:right w:val="outset" w:sz="6" w:space="0" w:color="000000"/>
            </w:tcBorders>
          </w:tcPr>
          <w:p w14:paraId="098847BF" w14:textId="77777777" w:rsidR="00472FFB" w:rsidRPr="005932B0" w:rsidRDefault="00472FFB" w:rsidP="00CB5E25">
            <w:pPr>
              <w:autoSpaceDE w:val="0"/>
              <w:autoSpaceDN w:val="0"/>
              <w:adjustRightInd w:val="0"/>
              <w:spacing w:line="240" w:lineRule="auto"/>
              <w:rPr>
                <w:rFonts w:asciiTheme="minorHAnsi" w:eastAsia="Times New Roman" w:hAnsiTheme="minorHAnsi" w:cs="Times"/>
              </w:rPr>
            </w:pPr>
            <w:r w:rsidRPr="005932B0">
              <w:rPr>
                <w:rFonts w:asciiTheme="minorHAnsi" w:eastAsia="Times New Roman" w:hAnsiTheme="minorHAnsi" w:cs="Times"/>
              </w:rPr>
              <w:t>Up to $1,000 + up to</w:t>
            </w:r>
          </w:p>
          <w:p w14:paraId="28F062B2" w14:textId="4C35322B" w:rsidR="00472FFB" w:rsidRPr="00B443FB" w:rsidRDefault="00472FFB" w:rsidP="0027134A">
            <w:pPr>
              <w:spacing w:line="240" w:lineRule="auto"/>
              <w:rPr>
                <w:rFonts w:asciiTheme="minorHAnsi" w:eastAsia="Times New Roman" w:hAnsiTheme="minorHAnsi" w:cs="Times"/>
              </w:rPr>
            </w:pPr>
            <w:r w:rsidRPr="005932B0">
              <w:rPr>
                <w:rFonts w:asciiTheme="minorHAnsi" w:eastAsia="Times New Roman" w:hAnsiTheme="minorHAnsi" w:cs="Times"/>
              </w:rPr>
              <w:t>$250 for each day the entity failed to comply</w:t>
            </w:r>
          </w:p>
        </w:tc>
      </w:tr>
      <w:tr w:rsidR="00472FFB" w:rsidRPr="00B443FB" w14:paraId="76CAAA53"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106892B2" w14:textId="380240C4" w:rsidR="00472FFB" w:rsidRPr="00B443FB" w:rsidRDefault="00472FFB" w:rsidP="00CB5E25">
            <w:pPr>
              <w:spacing w:line="240" w:lineRule="auto"/>
              <w:rPr>
                <w:rFonts w:asciiTheme="minorHAnsi" w:eastAsia="Times New Roman" w:hAnsiTheme="minorHAnsi" w:cs="Times"/>
                <w:highlight w:val="yellow"/>
              </w:rPr>
            </w:pPr>
            <w:r w:rsidRPr="00B443FB">
              <w:rPr>
                <w:rFonts w:asciiTheme="minorHAnsi" w:eastAsia="Times New Roman" w:hAnsiTheme="minorHAnsi" w:cs="Times"/>
              </w:rPr>
              <w:t xml:space="preserve">Failure to submit </w:t>
            </w:r>
            <w:r>
              <w:rPr>
                <w:rFonts w:asciiTheme="minorHAnsi" w:eastAsia="Times New Roman" w:hAnsiTheme="minorHAnsi" w:cs="Times"/>
              </w:rPr>
              <w:t xml:space="preserve">Audit Certification Form, </w:t>
            </w:r>
            <w:r w:rsidRPr="00B443FB">
              <w:rPr>
                <w:rFonts w:asciiTheme="minorHAnsi" w:eastAsia="Times New Roman" w:hAnsiTheme="minorHAnsi" w:cs="Times"/>
              </w:rPr>
              <w:t>a Single Audit</w:t>
            </w:r>
            <w:r>
              <w:rPr>
                <w:rFonts w:asciiTheme="minorHAnsi" w:eastAsia="Times New Roman" w:hAnsiTheme="minorHAnsi" w:cs="Times"/>
              </w:rPr>
              <w:t>,</w:t>
            </w:r>
            <w:r w:rsidRPr="00B443FB">
              <w:rPr>
                <w:rFonts w:asciiTheme="minorHAnsi" w:eastAsia="Times New Roman" w:hAnsiTheme="minorHAnsi" w:cs="Times"/>
              </w:rPr>
              <w:t xml:space="preserve"> or other programmatic audit</w:t>
            </w:r>
          </w:p>
        </w:tc>
        <w:tc>
          <w:tcPr>
            <w:tcW w:w="1376" w:type="pct"/>
            <w:tcBorders>
              <w:top w:val="outset" w:sz="6" w:space="0" w:color="000000"/>
              <w:left w:val="outset" w:sz="6" w:space="0" w:color="000000"/>
              <w:bottom w:val="outset" w:sz="6" w:space="0" w:color="000000"/>
              <w:right w:val="outset" w:sz="6" w:space="0" w:color="000000"/>
            </w:tcBorders>
          </w:tcPr>
          <w:p w14:paraId="16D06D71" w14:textId="1D199820" w:rsidR="00472FFB" w:rsidRPr="00B443FB" w:rsidRDefault="00472FFB" w:rsidP="0027134A">
            <w:pPr>
              <w:spacing w:line="240" w:lineRule="auto"/>
              <w:rPr>
                <w:rFonts w:asciiTheme="minorHAnsi" w:eastAsia="Times New Roman" w:hAnsiTheme="minorHAnsi" w:cs="Times"/>
                <w:highlight w:val="yellow"/>
              </w:rPr>
            </w:pPr>
            <w:r w:rsidRPr="00B443FB">
              <w:rPr>
                <w:rFonts w:asciiTheme="minorHAnsi" w:eastAsia="Times New Roman" w:hAnsiTheme="minorHAnsi" w:cs="Times"/>
              </w:rPr>
              <w:t>Up to $1,000</w:t>
            </w:r>
          </w:p>
        </w:tc>
        <w:tc>
          <w:tcPr>
            <w:tcW w:w="2099" w:type="pct"/>
            <w:tcBorders>
              <w:top w:val="outset" w:sz="6" w:space="0" w:color="000000"/>
              <w:left w:val="outset" w:sz="6" w:space="0" w:color="000000"/>
              <w:bottom w:val="outset" w:sz="6" w:space="0" w:color="000000"/>
              <w:right w:val="outset" w:sz="6" w:space="0" w:color="000000"/>
            </w:tcBorders>
          </w:tcPr>
          <w:p w14:paraId="5503330F" w14:textId="300EECB0" w:rsidR="00472FFB" w:rsidRPr="00B443FB" w:rsidRDefault="00472FFB" w:rsidP="0027134A">
            <w:pPr>
              <w:spacing w:line="240" w:lineRule="auto"/>
              <w:rPr>
                <w:rFonts w:asciiTheme="minorHAnsi" w:eastAsia="Times New Roman" w:hAnsiTheme="minorHAnsi" w:cs="Times"/>
                <w:highlight w:val="yellow"/>
              </w:rPr>
            </w:pPr>
            <w:r w:rsidRPr="00B443FB">
              <w:rPr>
                <w:rFonts w:asciiTheme="minorHAnsi" w:eastAsia="Times New Roman" w:hAnsiTheme="minorHAnsi" w:cs="Times"/>
              </w:rPr>
              <w:t>Up to $1,000 plus up to $100 for each day not in compliance</w:t>
            </w:r>
          </w:p>
        </w:tc>
      </w:tr>
      <w:tr w:rsidR="00472FFB" w:rsidRPr="00B443FB" w14:paraId="38AFACB5"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57F53739" w14:textId="1BD147A0" w:rsidR="00472FFB" w:rsidRPr="00B443FB" w:rsidRDefault="00472FFB" w:rsidP="00CB5E25">
            <w:pPr>
              <w:spacing w:line="240" w:lineRule="auto"/>
              <w:rPr>
                <w:rFonts w:asciiTheme="minorHAnsi" w:eastAsia="Times New Roman" w:hAnsiTheme="minorHAnsi" w:cs="Times"/>
              </w:rPr>
            </w:pPr>
            <w:r w:rsidRPr="00B443FB">
              <w:rPr>
                <w:rFonts w:asciiTheme="minorHAnsi" w:eastAsia="Times New Roman" w:hAnsiTheme="minorHAnsi" w:cs="Times"/>
              </w:rPr>
              <w:lastRenderedPageBreak/>
              <w:t>Failure to timely enter into an Information Privacy and Security Agreement</w:t>
            </w:r>
          </w:p>
        </w:tc>
        <w:tc>
          <w:tcPr>
            <w:tcW w:w="1376" w:type="pct"/>
            <w:tcBorders>
              <w:top w:val="outset" w:sz="6" w:space="0" w:color="000000"/>
              <w:left w:val="outset" w:sz="6" w:space="0" w:color="000000"/>
              <w:bottom w:val="outset" w:sz="6" w:space="0" w:color="000000"/>
              <w:right w:val="outset" w:sz="6" w:space="0" w:color="000000"/>
            </w:tcBorders>
          </w:tcPr>
          <w:p w14:paraId="75547652" w14:textId="3F588A25" w:rsidR="00472FFB" w:rsidRPr="00B443FB" w:rsidRDefault="00472FFB" w:rsidP="00CB5E25">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c>
          <w:tcPr>
            <w:tcW w:w="2099" w:type="pct"/>
            <w:tcBorders>
              <w:top w:val="outset" w:sz="6" w:space="0" w:color="000000"/>
              <w:left w:val="outset" w:sz="6" w:space="0" w:color="000000"/>
              <w:bottom w:val="outset" w:sz="6" w:space="0" w:color="000000"/>
              <w:right w:val="outset" w:sz="6" w:space="0" w:color="000000"/>
            </w:tcBorders>
          </w:tcPr>
          <w:p w14:paraId="444C2837" w14:textId="3D83974F" w:rsidR="00472FFB" w:rsidRPr="00B443FB" w:rsidRDefault="00472FFB" w:rsidP="00CB5E25">
            <w:pPr>
              <w:spacing w:line="240" w:lineRule="auto"/>
              <w:rPr>
                <w:rFonts w:asciiTheme="minorHAnsi" w:eastAsia="Times New Roman" w:hAnsiTheme="minorHAnsi" w:cs="Times"/>
              </w:rPr>
            </w:pPr>
            <w:r w:rsidRPr="00B443FB">
              <w:rPr>
                <w:rFonts w:asciiTheme="minorHAnsi" w:eastAsia="Times New Roman" w:hAnsiTheme="minorHAnsi" w:cs="Times"/>
              </w:rPr>
              <w:t>Up to $1,000 per violation</w:t>
            </w:r>
          </w:p>
        </w:tc>
      </w:tr>
      <w:tr w:rsidR="00472FFB" w:rsidRPr="00B443FB" w14:paraId="1853FA9D"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468176B7" w14:textId="3995B857"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comply with Labor Standards requirements in accordance with program rule, policy or agreement</w:t>
            </w:r>
          </w:p>
        </w:tc>
        <w:tc>
          <w:tcPr>
            <w:tcW w:w="1376" w:type="pct"/>
            <w:tcBorders>
              <w:top w:val="outset" w:sz="6" w:space="0" w:color="000000"/>
              <w:left w:val="outset" w:sz="6" w:space="0" w:color="000000"/>
              <w:bottom w:val="outset" w:sz="6" w:space="0" w:color="000000"/>
              <w:right w:val="outset" w:sz="6" w:space="0" w:color="000000"/>
            </w:tcBorders>
          </w:tcPr>
          <w:p w14:paraId="6FB437F3" w14:textId="50696F6F"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c>
          <w:tcPr>
            <w:tcW w:w="2099" w:type="pct"/>
            <w:tcBorders>
              <w:top w:val="outset" w:sz="6" w:space="0" w:color="000000"/>
              <w:left w:val="outset" w:sz="6" w:space="0" w:color="000000"/>
              <w:bottom w:val="outset" w:sz="6" w:space="0" w:color="000000"/>
              <w:right w:val="outset" w:sz="6" w:space="0" w:color="000000"/>
            </w:tcBorders>
          </w:tcPr>
          <w:p w14:paraId="6FD34D93" w14:textId="202B8D16"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472FFB" w:rsidRPr="00B443FB" w14:paraId="4AEDA25F"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3E9B273A" w14:textId="6FAAFBE1" w:rsidR="00472FFB" w:rsidRPr="00B443FB" w:rsidRDefault="00472FFB" w:rsidP="0027134A">
            <w:pPr>
              <w:spacing w:line="240" w:lineRule="auto"/>
              <w:rPr>
                <w:rFonts w:asciiTheme="minorHAnsi" w:eastAsia="Times New Roman" w:hAnsiTheme="minorHAnsi" w:cs="Times"/>
                <w:highlight w:val="yellow"/>
              </w:rPr>
            </w:pPr>
            <w:r w:rsidRPr="00B443FB">
              <w:rPr>
                <w:rFonts w:asciiTheme="minorHAnsi" w:eastAsia="Times New Roman" w:hAnsiTheme="minorHAnsi" w:cs="Times"/>
              </w:rPr>
              <w:t xml:space="preserve">Failure to comply with displacement policies as required by program rule, policy or agreement </w:t>
            </w:r>
          </w:p>
        </w:tc>
        <w:tc>
          <w:tcPr>
            <w:tcW w:w="1376" w:type="pct"/>
            <w:tcBorders>
              <w:top w:val="outset" w:sz="6" w:space="0" w:color="000000"/>
              <w:left w:val="outset" w:sz="6" w:space="0" w:color="000000"/>
              <w:bottom w:val="outset" w:sz="6" w:space="0" w:color="000000"/>
              <w:right w:val="outset" w:sz="6" w:space="0" w:color="000000"/>
            </w:tcBorders>
          </w:tcPr>
          <w:p w14:paraId="613CA7D2" w14:textId="15A856E8" w:rsidR="00472FFB" w:rsidRPr="00B443FB" w:rsidRDefault="00472FFB" w:rsidP="0027134A">
            <w:pPr>
              <w:spacing w:line="240" w:lineRule="auto"/>
              <w:rPr>
                <w:rFonts w:asciiTheme="minorHAnsi" w:eastAsia="Times New Roman" w:hAnsiTheme="minorHAnsi" w:cs="Times"/>
                <w:highlight w:val="yellow"/>
              </w:rPr>
            </w:pPr>
            <w:r w:rsidRPr="00B443FB">
              <w:rPr>
                <w:rFonts w:asciiTheme="minorHAnsi" w:eastAsia="Times New Roman" w:hAnsiTheme="minorHAnsi" w:cs="Times"/>
              </w:rPr>
              <w:t>Up to $500</w:t>
            </w:r>
          </w:p>
        </w:tc>
        <w:tc>
          <w:tcPr>
            <w:tcW w:w="2099" w:type="pct"/>
            <w:tcBorders>
              <w:top w:val="outset" w:sz="6" w:space="0" w:color="000000"/>
              <w:left w:val="outset" w:sz="6" w:space="0" w:color="000000"/>
              <w:bottom w:val="outset" w:sz="6" w:space="0" w:color="000000"/>
              <w:right w:val="outset" w:sz="6" w:space="0" w:color="000000"/>
            </w:tcBorders>
          </w:tcPr>
          <w:p w14:paraId="6EFF15A1" w14:textId="7C42680C" w:rsidR="00472FFB" w:rsidRPr="00B443FB" w:rsidRDefault="00472FFB" w:rsidP="0027134A">
            <w:pPr>
              <w:spacing w:line="240" w:lineRule="auto"/>
              <w:rPr>
                <w:rFonts w:asciiTheme="minorHAnsi" w:eastAsia="Times New Roman" w:hAnsiTheme="minorHAnsi" w:cs="Times"/>
                <w:highlight w:val="yellow"/>
              </w:rPr>
            </w:pPr>
            <w:r w:rsidRPr="00B443FB">
              <w:rPr>
                <w:rFonts w:asciiTheme="minorHAnsi" w:eastAsia="Times New Roman" w:hAnsiTheme="minorHAnsi" w:cs="Times"/>
              </w:rPr>
              <w:t>Up to $1,000</w:t>
            </w:r>
          </w:p>
        </w:tc>
      </w:tr>
      <w:tr w:rsidR="00472FFB" w:rsidRPr="00B443FB" w14:paraId="4CAA4F2A"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197AEB1C" w14:textId="4FADB5F5"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Casualty loss not corrected during restoration period</w:t>
            </w:r>
          </w:p>
        </w:tc>
        <w:tc>
          <w:tcPr>
            <w:tcW w:w="1376" w:type="pct"/>
            <w:tcBorders>
              <w:top w:val="outset" w:sz="6" w:space="0" w:color="000000"/>
              <w:left w:val="outset" w:sz="6" w:space="0" w:color="000000"/>
              <w:bottom w:val="outset" w:sz="6" w:space="0" w:color="000000"/>
              <w:right w:val="outset" w:sz="6" w:space="0" w:color="000000"/>
            </w:tcBorders>
          </w:tcPr>
          <w:p w14:paraId="1B9A476C" w14:textId="30E039A6"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 per unit per day</w:t>
            </w:r>
          </w:p>
        </w:tc>
        <w:tc>
          <w:tcPr>
            <w:tcW w:w="2099" w:type="pct"/>
            <w:tcBorders>
              <w:top w:val="outset" w:sz="6" w:space="0" w:color="000000"/>
              <w:left w:val="outset" w:sz="6" w:space="0" w:color="000000"/>
              <w:bottom w:val="outset" w:sz="6" w:space="0" w:color="000000"/>
              <w:right w:val="outset" w:sz="6" w:space="0" w:color="000000"/>
            </w:tcBorders>
          </w:tcPr>
          <w:p w14:paraId="08B2C132" w14:textId="03060A4C"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 per unit per day</w:t>
            </w:r>
          </w:p>
        </w:tc>
      </w:tr>
      <w:tr w:rsidR="00472FFB" w:rsidRPr="00B443FB" w14:paraId="71E8622B"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3CABDA58" w14:textId="523D6873"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Unit leased to Household that is not qualified for the Section 811</w:t>
            </w:r>
            <w:r>
              <w:rPr>
                <w:rFonts w:asciiTheme="minorHAnsi" w:eastAsia="Times New Roman" w:hAnsiTheme="minorHAnsi" w:cs="Times"/>
              </w:rPr>
              <w:t xml:space="preserve"> PRA</w:t>
            </w:r>
            <w:r w:rsidRPr="00B443FB">
              <w:rPr>
                <w:rFonts w:asciiTheme="minorHAnsi" w:eastAsia="Times New Roman" w:hAnsiTheme="minorHAnsi" w:cs="Times"/>
              </w:rPr>
              <w:t xml:space="preserve"> program</w:t>
            </w:r>
          </w:p>
        </w:tc>
        <w:tc>
          <w:tcPr>
            <w:tcW w:w="1376" w:type="pct"/>
            <w:tcBorders>
              <w:top w:val="outset" w:sz="6" w:space="0" w:color="000000"/>
              <w:left w:val="outset" w:sz="6" w:space="0" w:color="000000"/>
              <w:bottom w:val="outset" w:sz="6" w:space="0" w:color="000000"/>
              <w:right w:val="outset" w:sz="6" w:space="0" w:color="000000"/>
            </w:tcBorders>
          </w:tcPr>
          <w:p w14:paraId="27E444E0" w14:textId="6CC44158"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c>
          <w:tcPr>
            <w:tcW w:w="2099" w:type="pct"/>
            <w:tcBorders>
              <w:top w:val="outset" w:sz="6" w:space="0" w:color="000000"/>
              <w:left w:val="outset" w:sz="6" w:space="0" w:color="000000"/>
              <w:bottom w:val="outset" w:sz="6" w:space="0" w:color="000000"/>
              <w:right w:val="outset" w:sz="6" w:space="0" w:color="000000"/>
            </w:tcBorders>
          </w:tcPr>
          <w:p w14:paraId="7B331638" w14:textId="1C5B4A4F"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472FFB" w:rsidRPr="00B443FB" w14:paraId="29F0CC65"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7B0B0753" w14:textId="7705294D"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submit documentation for mail in review</w:t>
            </w:r>
          </w:p>
        </w:tc>
        <w:tc>
          <w:tcPr>
            <w:tcW w:w="1376" w:type="pct"/>
            <w:tcBorders>
              <w:top w:val="outset" w:sz="6" w:space="0" w:color="000000"/>
              <w:left w:val="outset" w:sz="6" w:space="0" w:color="000000"/>
              <w:bottom w:val="outset" w:sz="6" w:space="0" w:color="000000"/>
              <w:right w:val="outset" w:sz="6" w:space="0" w:color="000000"/>
            </w:tcBorders>
          </w:tcPr>
          <w:p w14:paraId="7124F728" w14:textId="6F44F4AE"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w:t>
            </w:r>
          </w:p>
        </w:tc>
        <w:tc>
          <w:tcPr>
            <w:tcW w:w="2099" w:type="pct"/>
            <w:tcBorders>
              <w:top w:val="outset" w:sz="6" w:space="0" w:color="000000"/>
              <w:left w:val="outset" w:sz="6" w:space="0" w:color="000000"/>
              <w:bottom w:val="outset" w:sz="6" w:space="0" w:color="000000"/>
              <w:right w:val="outset" w:sz="6" w:space="0" w:color="000000"/>
            </w:tcBorders>
          </w:tcPr>
          <w:p w14:paraId="322AAB0C" w14:textId="15235DF2"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 per day</w:t>
            </w:r>
          </w:p>
        </w:tc>
      </w:tr>
      <w:tr w:rsidR="00472FFB" w:rsidRPr="00B443FB" w14:paraId="416D95C2"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15DDFAC9" w14:textId="5ACE0D8A"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Noncompliance with CHDO requirements</w:t>
            </w:r>
          </w:p>
        </w:tc>
        <w:tc>
          <w:tcPr>
            <w:tcW w:w="1376" w:type="pct"/>
            <w:tcBorders>
              <w:top w:val="outset" w:sz="6" w:space="0" w:color="000000"/>
              <w:left w:val="outset" w:sz="6" w:space="0" w:color="000000"/>
              <w:bottom w:val="outset" w:sz="6" w:space="0" w:color="000000"/>
              <w:right w:val="outset" w:sz="6" w:space="0" w:color="000000"/>
            </w:tcBorders>
          </w:tcPr>
          <w:p w14:paraId="7FEABE6B" w14:textId="0EF0C073"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c>
          <w:tcPr>
            <w:tcW w:w="2099" w:type="pct"/>
            <w:tcBorders>
              <w:top w:val="outset" w:sz="6" w:space="0" w:color="000000"/>
              <w:left w:val="outset" w:sz="6" w:space="0" w:color="000000"/>
              <w:bottom w:val="outset" w:sz="6" w:space="0" w:color="000000"/>
              <w:right w:val="outset" w:sz="6" w:space="0" w:color="000000"/>
            </w:tcBorders>
          </w:tcPr>
          <w:p w14:paraId="6B98010F" w14:textId="229E1B1A"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$1,000</w:t>
            </w:r>
          </w:p>
        </w:tc>
      </w:tr>
      <w:tr w:rsidR="00472FFB" w:rsidRPr="00B443FB" w14:paraId="56B74E4B"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24171051" w14:textId="76605D4E"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properly calculate security deposit (Section 811 PRA only)</w:t>
            </w:r>
          </w:p>
        </w:tc>
        <w:tc>
          <w:tcPr>
            <w:tcW w:w="1376" w:type="pct"/>
            <w:tcBorders>
              <w:top w:val="outset" w:sz="6" w:space="0" w:color="000000"/>
              <w:left w:val="outset" w:sz="6" w:space="0" w:color="000000"/>
              <w:bottom w:val="outset" w:sz="6" w:space="0" w:color="000000"/>
              <w:right w:val="outset" w:sz="6" w:space="0" w:color="000000"/>
            </w:tcBorders>
          </w:tcPr>
          <w:p w14:paraId="23D9A8ED" w14:textId="158020FC"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w:t>
            </w:r>
          </w:p>
        </w:tc>
        <w:tc>
          <w:tcPr>
            <w:tcW w:w="2099" w:type="pct"/>
            <w:tcBorders>
              <w:top w:val="outset" w:sz="6" w:space="0" w:color="000000"/>
              <w:left w:val="outset" w:sz="6" w:space="0" w:color="000000"/>
              <w:bottom w:val="outset" w:sz="6" w:space="0" w:color="000000"/>
              <w:right w:val="outset" w:sz="6" w:space="0" w:color="000000"/>
            </w:tcBorders>
          </w:tcPr>
          <w:p w14:paraId="70325A18" w14:textId="553D1C38"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r>
      <w:tr w:rsidR="00472FFB" w:rsidRPr="00B443FB" w14:paraId="48E348F9"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51436B96" w14:textId="08C01213"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Failure to prominently display required Fair Housing Posters (Section 811</w:t>
            </w:r>
            <w:r>
              <w:rPr>
                <w:rFonts w:asciiTheme="minorHAnsi" w:eastAsia="Times New Roman" w:hAnsiTheme="minorHAnsi" w:cs="Times"/>
              </w:rPr>
              <w:t xml:space="preserve">  PRA</w:t>
            </w:r>
            <w:r w:rsidRPr="00B443FB">
              <w:rPr>
                <w:rFonts w:asciiTheme="minorHAnsi" w:eastAsia="Times New Roman" w:hAnsiTheme="minorHAnsi" w:cs="Times"/>
              </w:rPr>
              <w:t xml:space="preserve"> only)</w:t>
            </w:r>
          </w:p>
        </w:tc>
        <w:tc>
          <w:tcPr>
            <w:tcW w:w="1376" w:type="pct"/>
            <w:tcBorders>
              <w:top w:val="outset" w:sz="6" w:space="0" w:color="000000"/>
              <w:left w:val="outset" w:sz="6" w:space="0" w:color="000000"/>
              <w:bottom w:val="outset" w:sz="6" w:space="0" w:color="000000"/>
              <w:right w:val="outset" w:sz="6" w:space="0" w:color="000000"/>
            </w:tcBorders>
          </w:tcPr>
          <w:p w14:paraId="22833941" w14:textId="5B47BA63"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$250</w:t>
            </w:r>
          </w:p>
        </w:tc>
        <w:tc>
          <w:tcPr>
            <w:tcW w:w="2099" w:type="pct"/>
            <w:tcBorders>
              <w:top w:val="outset" w:sz="6" w:space="0" w:color="000000"/>
              <w:left w:val="outset" w:sz="6" w:space="0" w:color="000000"/>
              <w:bottom w:val="outset" w:sz="6" w:space="0" w:color="000000"/>
              <w:right w:val="outset" w:sz="6" w:space="0" w:color="000000"/>
            </w:tcBorders>
          </w:tcPr>
          <w:p w14:paraId="1F382B56" w14:textId="79806358"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cs="Times"/>
              </w:rPr>
              <w:t>Up to $500</w:t>
            </w:r>
          </w:p>
        </w:tc>
      </w:tr>
      <w:tr w:rsidR="00472FFB" w:rsidRPr="00B443FB" w14:paraId="06E867C1" w14:textId="77777777" w:rsidTr="00472FFB">
        <w:trPr>
          <w:tblCellSpacing w:w="0" w:type="dxa"/>
        </w:trPr>
        <w:tc>
          <w:tcPr>
            <w:tcW w:w="1525" w:type="pct"/>
            <w:tcBorders>
              <w:top w:val="outset" w:sz="6" w:space="0" w:color="000000"/>
              <w:left w:val="outset" w:sz="6" w:space="0" w:color="000000"/>
              <w:bottom w:val="outset" w:sz="6" w:space="0" w:color="000000"/>
              <w:right w:val="outset" w:sz="6" w:space="0" w:color="000000"/>
            </w:tcBorders>
          </w:tcPr>
          <w:p w14:paraId="52736447" w14:textId="626D96CC"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rPr>
              <w:t>Failure to comply with Section 3 requirements in</w:t>
            </w:r>
            <w:r w:rsidRPr="00B443FB">
              <w:rPr>
                <w:rFonts w:asciiTheme="minorHAnsi" w:eastAsia="Times New Roman" w:hAnsiTheme="minorHAnsi"/>
              </w:rPr>
              <w:br/>
              <w:t>accordance with program</w:t>
            </w:r>
            <w:r w:rsidRPr="00B443FB">
              <w:rPr>
                <w:rFonts w:asciiTheme="minorHAnsi" w:eastAsia="Times New Roman" w:hAnsiTheme="minorHAnsi"/>
              </w:rPr>
              <w:br/>
              <w:t>rule, policy</w:t>
            </w:r>
            <w:r>
              <w:rPr>
                <w:rFonts w:asciiTheme="minorHAnsi" w:eastAsia="Times New Roman" w:hAnsiTheme="minorHAnsi"/>
              </w:rPr>
              <w:t>,</w:t>
            </w:r>
            <w:r w:rsidRPr="00B443FB">
              <w:rPr>
                <w:rFonts w:asciiTheme="minorHAnsi" w:eastAsia="Times New Roman" w:hAnsiTheme="minorHAnsi"/>
              </w:rPr>
              <w:t xml:space="preserve"> or agreement</w:t>
            </w:r>
          </w:p>
        </w:tc>
        <w:tc>
          <w:tcPr>
            <w:tcW w:w="1376" w:type="pct"/>
            <w:tcBorders>
              <w:top w:val="outset" w:sz="6" w:space="0" w:color="000000"/>
              <w:left w:val="outset" w:sz="6" w:space="0" w:color="000000"/>
              <w:bottom w:val="outset" w:sz="6" w:space="0" w:color="000000"/>
              <w:right w:val="outset" w:sz="6" w:space="0" w:color="000000"/>
            </w:tcBorders>
          </w:tcPr>
          <w:p w14:paraId="2FDAE03F" w14:textId="0ABDC61C"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rPr>
              <w:t>Up to $500</w:t>
            </w:r>
          </w:p>
        </w:tc>
        <w:tc>
          <w:tcPr>
            <w:tcW w:w="2099" w:type="pct"/>
            <w:tcBorders>
              <w:top w:val="outset" w:sz="6" w:space="0" w:color="000000"/>
              <w:left w:val="outset" w:sz="6" w:space="0" w:color="000000"/>
              <w:bottom w:val="outset" w:sz="6" w:space="0" w:color="000000"/>
              <w:right w:val="outset" w:sz="6" w:space="0" w:color="000000"/>
            </w:tcBorders>
          </w:tcPr>
          <w:p w14:paraId="7AD98C4D" w14:textId="3719319B" w:rsidR="00472FFB" w:rsidRPr="00B443FB" w:rsidRDefault="00472FFB" w:rsidP="0027134A">
            <w:pPr>
              <w:spacing w:line="240" w:lineRule="auto"/>
              <w:rPr>
                <w:rFonts w:asciiTheme="minorHAnsi" w:eastAsia="Times New Roman" w:hAnsiTheme="minorHAnsi" w:cs="Times"/>
              </w:rPr>
            </w:pPr>
            <w:r w:rsidRPr="00B443FB">
              <w:rPr>
                <w:rFonts w:asciiTheme="minorHAnsi" w:eastAsia="Times New Roman" w:hAnsiTheme="minorHAnsi"/>
              </w:rPr>
              <w:t>Up to $1,000</w:t>
            </w:r>
          </w:p>
        </w:tc>
      </w:tr>
    </w:tbl>
    <w:p w14:paraId="3D87F592" w14:textId="77777777" w:rsidR="00890FD6" w:rsidRPr="00B443FB" w:rsidRDefault="00890FD6" w:rsidP="0027134A">
      <w:pPr>
        <w:spacing w:line="240" w:lineRule="auto"/>
        <w:rPr>
          <w:rFonts w:asciiTheme="minorHAnsi" w:hAnsiTheme="minorHAnsi"/>
        </w:rPr>
      </w:pPr>
    </w:p>
    <w:p w14:paraId="66B5B684" w14:textId="42BFB36F"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Figure 3: 10 TAC §2.302(l)</w:t>
      </w:r>
    </w:p>
    <w:tbl>
      <w:tblPr>
        <w:tblW w:w="4464"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24"/>
        <w:gridCol w:w="1976"/>
        <w:gridCol w:w="4199"/>
      </w:tblGrid>
      <w:tr w:rsidR="00275CF7" w:rsidRPr="00B443FB" w14:paraId="2031F3E5" w14:textId="77777777" w:rsidTr="00472FFB">
        <w:trPr>
          <w:tblCellSpacing w:w="0" w:type="dxa"/>
        </w:trPr>
        <w:tc>
          <w:tcPr>
            <w:tcW w:w="5000" w:type="pct"/>
            <w:gridSpan w:val="3"/>
            <w:tcBorders>
              <w:top w:val="nil"/>
              <w:left w:val="nil"/>
              <w:bottom w:val="nil"/>
              <w:right w:val="nil"/>
            </w:tcBorders>
            <w:vAlign w:val="center"/>
            <w:hideMark/>
          </w:tcPr>
          <w:p w14:paraId="69596257" w14:textId="4F538556" w:rsidR="00275CF7" w:rsidRPr="005932B0" w:rsidRDefault="00275CF7" w:rsidP="0027134A">
            <w:pPr>
              <w:autoSpaceDE w:val="0"/>
              <w:autoSpaceDN w:val="0"/>
              <w:adjustRightInd w:val="0"/>
              <w:spacing w:line="240" w:lineRule="auto"/>
              <w:rPr>
                <w:rFonts w:asciiTheme="minorHAnsi" w:eastAsia="Times New Roman" w:hAnsiTheme="minorHAnsi"/>
              </w:rPr>
            </w:pPr>
            <w:r w:rsidRPr="00B443FB">
              <w:rPr>
                <w:rFonts w:asciiTheme="minorHAnsi" w:eastAsia="Times New Roman" w:hAnsiTheme="minorHAnsi"/>
                <w:b/>
                <w:bCs/>
              </w:rPr>
              <w:t xml:space="preserve">Penalty table for Single Family Program Findings of Noncompliance.  </w:t>
            </w:r>
            <w:r w:rsidRPr="005932B0">
              <w:rPr>
                <w:rFonts w:asciiTheme="minorHAnsi" w:eastAsia="Times New Roman" w:hAnsiTheme="minorHAnsi"/>
              </w:rPr>
              <w:t>These are the maximum potential administrative</w:t>
            </w:r>
            <w:r w:rsidR="00422529" w:rsidRPr="005932B0">
              <w:rPr>
                <w:rFonts w:asciiTheme="minorHAnsi" w:eastAsia="Times New Roman" w:hAnsiTheme="minorHAnsi"/>
              </w:rPr>
              <w:t xml:space="preserve"> </w:t>
            </w:r>
            <w:r w:rsidRPr="005932B0">
              <w:rPr>
                <w:rFonts w:asciiTheme="minorHAnsi" w:eastAsia="Times New Roman" w:hAnsiTheme="minorHAnsi"/>
              </w:rPr>
              <w:t>penalty amounts possible for each finding of noncompliance.  When an administrative penalty is to be considered, the matrix</w:t>
            </w:r>
          </w:p>
          <w:p w14:paraId="251E8DC8" w14:textId="77777777" w:rsidR="00275CF7" w:rsidRPr="00B443FB" w:rsidRDefault="00275CF7" w:rsidP="0027134A">
            <w:pPr>
              <w:autoSpaceDE w:val="0"/>
              <w:autoSpaceDN w:val="0"/>
              <w:adjustRightInd w:val="0"/>
              <w:spacing w:line="240" w:lineRule="auto"/>
              <w:rPr>
                <w:rFonts w:asciiTheme="minorHAnsi" w:eastAsia="Times New Roman" w:hAnsiTheme="minorHAnsi"/>
                <w:b/>
                <w:bCs/>
              </w:rPr>
            </w:pPr>
            <w:proofErr w:type="gramStart"/>
            <w:r w:rsidRPr="005932B0">
              <w:rPr>
                <w:rFonts w:asciiTheme="minorHAnsi" w:eastAsia="Times New Roman" w:hAnsiTheme="minorHAnsi"/>
              </w:rPr>
              <w:t>below</w:t>
            </w:r>
            <w:proofErr w:type="gramEnd"/>
            <w:r w:rsidRPr="005932B0">
              <w:rPr>
                <w:rFonts w:asciiTheme="minorHAnsi" w:eastAsia="Times New Roman" w:hAnsiTheme="minorHAnsi"/>
              </w:rPr>
              <w:t xml:space="preserve"> must be considered in conjunction with the statutory factors at Tex. Gov’t Code §2306.042.</w:t>
            </w:r>
          </w:p>
        </w:tc>
      </w:tr>
      <w:tr w:rsidR="00275CF7" w:rsidRPr="00B443FB" w14:paraId="16ED797F"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3766618C" w14:textId="522F102E" w:rsidR="00275CF7" w:rsidRPr="00B443FB" w:rsidRDefault="00275CF7" w:rsidP="0027134A">
            <w:pPr>
              <w:spacing w:line="240" w:lineRule="auto"/>
              <w:rPr>
                <w:rFonts w:asciiTheme="minorHAnsi" w:eastAsia="Times New Roman" w:hAnsiTheme="minorHAnsi"/>
                <w:b/>
                <w:bCs/>
              </w:rPr>
            </w:pPr>
            <w:r w:rsidRPr="00B443FB">
              <w:rPr>
                <w:rFonts w:asciiTheme="minorHAnsi" w:eastAsia="Times New Roman" w:hAnsiTheme="minorHAnsi"/>
                <w:b/>
                <w:bCs/>
              </w:rPr>
              <w:t xml:space="preserve">Finding of Noncompliance </w:t>
            </w:r>
          </w:p>
        </w:tc>
        <w:tc>
          <w:tcPr>
            <w:tcW w:w="1098" w:type="pct"/>
            <w:tcBorders>
              <w:top w:val="outset" w:sz="6" w:space="0" w:color="000000"/>
              <w:left w:val="outset" w:sz="6" w:space="0" w:color="000000"/>
              <w:bottom w:val="outset" w:sz="6" w:space="0" w:color="000000"/>
              <w:right w:val="outset" w:sz="6" w:space="0" w:color="000000"/>
            </w:tcBorders>
            <w:hideMark/>
          </w:tcPr>
          <w:p w14:paraId="6DB90B07" w14:textId="77777777" w:rsidR="00275CF7" w:rsidRPr="005932B0"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t>Maximum first</w:t>
            </w:r>
          </w:p>
          <w:p w14:paraId="6EE8FD35" w14:textId="77777777" w:rsidR="00275CF7" w:rsidRPr="005932B0"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t>time</w:t>
            </w:r>
          </w:p>
          <w:p w14:paraId="7B46C938" w14:textId="77777777" w:rsidR="00275CF7" w:rsidRPr="005932B0"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t>administrative</w:t>
            </w:r>
          </w:p>
          <w:p w14:paraId="65A269FE" w14:textId="77777777" w:rsidR="00275CF7" w:rsidRPr="005932B0"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lastRenderedPageBreak/>
              <w:t>penalty</w:t>
            </w:r>
          </w:p>
          <w:p w14:paraId="22C930D5" w14:textId="728C89AD" w:rsidR="00275CF7" w:rsidRPr="00B443FB"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t>assessment</w:t>
            </w:r>
          </w:p>
        </w:tc>
        <w:tc>
          <w:tcPr>
            <w:tcW w:w="2333" w:type="pct"/>
            <w:tcBorders>
              <w:top w:val="outset" w:sz="6" w:space="0" w:color="000000"/>
              <w:left w:val="outset" w:sz="6" w:space="0" w:color="000000"/>
              <w:bottom w:val="outset" w:sz="6" w:space="0" w:color="000000"/>
              <w:right w:val="outset" w:sz="6" w:space="0" w:color="000000"/>
            </w:tcBorders>
            <w:hideMark/>
          </w:tcPr>
          <w:p w14:paraId="1B632303" w14:textId="77777777" w:rsidR="00275CF7" w:rsidRPr="005932B0"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lastRenderedPageBreak/>
              <w:t>Maximum</w:t>
            </w:r>
          </w:p>
          <w:p w14:paraId="4542F671" w14:textId="77777777" w:rsidR="00275CF7" w:rsidRPr="005932B0"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t>administrative</w:t>
            </w:r>
          </w:p>
          <w:p w14:paraId="34F52A6A" w14:textId="77777777" w:rsidR="00275CF7" w:rsidRPr="005932B0"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t>penalty assessment</w:t>
            </w:r>
          </w:p>
          <w:p w14:paraId="3C68E46C" w14:textId="77777777" w:rsidR="00275CF7" w:rsidRPr="005932B0"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lastRenderedPageBreak/>
              <w:t>for a Responsible</w:t>
            </w:r>
          </w:p>
          <w:p w14:paraId="1F0FDAC1" w14:textId="77777777" w:rsidR="00275CF7" w:rsidRPr="005932B0"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t>Party that has</w:t>
            </w:r>
          </w:p>
          <w:p w14:paraId="3E47D795" w14:textId="77777777" w:rsidR="00275CF7" w:rsidRPr="005932B0"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t>previously paid a</w:t>
            </w:r>
          </w:p>
          <w:p w14:paraId="6526552E" w14:textId="77777777" w:rsidR="00275CF7" w:rsidRPr="005932B0"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t>penalty for the</w:t>
            </w:r>
          </w:p>
          <w:p w14:paraId="0A9EAEB0" w14:textId="77777777" w:rsidR="00275CF7" w:rsidRPr="005932B0"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t>same finding</w:t>
            </w:r>
          </w:p>
          <w:p w14:paraId="04A05BC6" w14:textId="27C0AFC4" w:rsidR="00275CF7" w:rsidRPr="00B443FB" w:rsidRDefault="00275CF7" w:rsidP="005932B0">
            <w:pPr>
              <w:spacing w:line="240" w:lineRule="auto"/>
              <w:rPr>
                <w:rFonts w:asciiTheme="minorHAnsi" w:eastAsia="Times New Roman" w:hAnsiTheme="minorHAnsi"/>
                <w:b/>
                <w:bCs/>
              </w:rPr>
            </w:pPr>
            <w:r w:rsidRPr="005932B0">
              <w:rPr>
                <w:rFonts w:asciiTheme="minorHAnsi" w:eastAsia="Times New Roman" w:hAnsiTheme="minorHAnsi"/>
                <w:b/>
                <w:bCs/>
              </w:rPr>
              <w:t>type</w:t>
            </w:r>
          </w:p>
        </w:tc>
      </w:tr>
      <w:tr w:rsidR="00275CF7" w:rsidRPr="00B443FB" w14:paraId="1AEEA1B1"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420E3970"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lastRenderedPageBreak/>
              <w:t>Noncompliance related to Affirmative Marketing requirements</w:t>
            </w:r>
          </w:p>
        </w:tc>
        <w:tc>
          <w:tcPr>
            <w:tcW w:w="1098" w:type="pct"/>
            <w:tcBorders>
              <w:top w:val="outset" w:sz="6" w:space="0" w:color="000000"/>
              <w:left w:val="outset" w:sz="6" w:space="0" w:color="000000"/>
              <w:bottom w:val="outset" w:sz="6" w:space="0" w:color="000000"/>
              <w:right w:val="outset" w:sz="6" w:space="0" w:color="000000"/>
            </w:tcBorders>
            <w:hideMark/>
          </w:tcPr>
          <w:p w14:paraId="36BE676A"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2333" w:type="pct"/>
            <w:tcBorders>
              <w:top w:val="outset" w:sz="6" w:space="0" w:color="000000"/>
              <w:left w:val="outset" w:sz="6" w:space="0" w:color="000000"/>
              <w:bottom w:val="outset" w:sz="6" w:space="0" w:color="000000"/>
              <w:right w:val="outset" w:sz="6" w:space="0" w:color="000000"/>
            </w:tcBorders>
            <w:hideMark/>
          </w:tcPr>
          <w:p w14:paraId="41920C4C"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275CF7" w:rsidRPr="00B443FB" w14:paraId="25D9652D"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4FBDD439" w14:textId="2623AF0C" w:rsidR="00275CF7" w:rsidRPr="00B443FB" w:rsidRDefault="00FB13FB" w:rsidP="0027134A">
            <w:pPr>
              <w:spacing w:line="240" w:lineRule="auto"/>
              <w:rPr>
                <w:rFonts w:asciiTheme="minorHAnsi" w:eastAsia="Times New Roman" w:hAnsiTheme="minorHAnsi"/>
              </w:rPr>
            </w:pPr>
            <w:r>
              <w:rPr>
                <w:rFonts w:asciiTheme="minorHAnsi" w:eastAsia="Times New Roman" w:hAnsiTheme="minorHAnsi"/>
              </w:rPr>
              <w:t xml:space="preserve">Program </w:t>
            </w:r>
            <w:r w:rsidR="00275CF7" w:rsidRPr="00B443FB">
              <w:rPr>
                <w:rFonts w:asciiTheme="minorHAnsi" w:eastAsia="Times New Roman" w:hAnsiTheme="minorHAnsi"/>
              </w:rPr>
              <w:t>Accessibility violations</w:t>
            </w:r>
          </w:p>
        </w:tc>
        <w:tc>
          <w:tcPr>
            <w:tcW w:w="1098" w:type="pct"/>
            <w:tcBorders>
              <w:top w:val="outset" w:sz="6" w:space="0" w:color="000000"/>
              <w:left w:val="outset" w:sz="6" w:space="0" w:color="000000"/>
              <w:bottom w:val="outset" w:sz="6" w:space="0" w:color="000000"/>
              <w:right w:val="outset" w:sz="6" w:space="0" w:color="000000"/>
            </w:tcBorders>
            <w:hideMark/>
          </w:tcPr>
          <w:p w14:paraId="40836F24"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$100 per violation</w:t>
            </w:r>
          </w:p>
        </w:tc>
        <w:tc>
          <w:tcPr>
            <w:tcW w:w="2333" w:type="pct"/>
            <w:tcBorders>
              <w:top w:val="outset" w:sz="6" w:space="0" w:color="000000"/>
              <w:left w:val="outset" w:sz="6" w:space="0" w:color="000000"/>
              <w:bottom w:val="outset" w:sz="6" w:space="0" w:color="000000"/>
              <w:right w:val="outset" w:sz="6" w:space="0" w:color="000000"/>
            </w:tcBorders>
            <w:hideMark/>
          </w:tcPr>
          <w:p w14:paraId="0D4B8927"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$200 per violation</w:t>
            </w:r>
          </w:p>
        </w:tc>
      </w:tr>
      <w:tr w:rsidR="00275CF7" w:rsidRPr="00B443FB" w14:paraId="42348781"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200B382E" w14:textId="77777777" w:rsidR="00275CF7" w:rsidRPr="005932B0" w:rsidRDefault="00275CF7" w:rsidP="0027134A">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Failure to meet CHDO</w:t>
            </w:r>
          </w:p>
          <w:p w14:paraId="69770577" w14:textId="77777777" w:rsidR="00275CF7" w:rsidRPr="00B443FB" w:rsidDel="00543A14" w:rsidRDefault="00275CF7" w:rsidP="0027134A">
            <w:pPr>
              <w:spacing w:line="240" w:lineRule="auto"/>
              <w:rPr>
                <w:rFonts w:asciiTheme="minorHAnsi" w:eastAsia="Times New Roman" w:hAnsiTheme="minorHAnsi"/>
              </w:rPr>
            </w:pPr>
            <w:r w:rsidRPr="005932B0">
              <w:rPr>
                <w:rFonts w:asciiTheme="minorHAnsi" w:eastAsia="Times New Roman" w:hAnsiTheme="minorHAnsi"/>
              </w:rPr>
              <w:t>Board requirements</w:t>
            </w:r>
          </w:p>
        </w:tc>
        <w:tc>
          <w:tcPr>
            <w:tcW w:w="1098" w:type="pct"/>
            <w:tcBorders>
              <w:top w:val="outset" w:sz="6" w:space="0" w:color="000000"/>
              <w:left w:val="outset" w:sz="6" w:space="0" w:color="000000"/>
              <w:bottom w:val="outset" w:sz="6" w:space="0" w:color="000000"/>
              <w:right w:val="outset" w:sz="6" w:space="0" w:color="000000"/>
            </w:tcBorders>
            <w:hideMark/>
          </w:tcPr>
          <w:p w14:paraId="16198E62" w14:textId="77777777" w:rsidR="00275CF7" w:rsidRPr="005932B0" w:rsidRDefault="00275CF7" w:rsidP="0027134A">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Up to $1,000 +</w:t>
            </w:r>
          </w:p>
          <w:p w14:paraId="6D780B82" w14:textId="77777777" w:rsidR="00275CF7" w:rsidRPr="005932B0" w:rsidRDefault="00275CF7" w:rsidP="0027134A">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up to $100 for each day the</w:t>
            </w:r>
          </w:p>
          <w:p w14:paraId="315E6620" w14:textId="77777777" w:rsidR="00275CF7" w:rsidRPr="005932B0" w:rsidRDefault="00275CF7" w:rsidP="0027134A">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entity failed to</w:t>
            </w:r>
          </w:p>
          <w:p w14:paraId="0D80A2AF" w14:textId="77777777" w:rsidR="00275CF7" w:rsidRPr="00B443FB" w:rsidRDefault="00275CF7" w:rsidP="0027134A">
            <w:pPr>
              <w:spacing w:line="240" w:lineRule="auto"/>
              <w:rPr>
                <w:rFonts w:asciiTheme="minorHAnsi" w:eastAsia="Times New Roman" w:hAnsiTheme="minorHAnsi"/>
              </w:rPr>
            </w:pPr>
            <w:r w:rsidRPr="005932B0">
              <w:rPr>
                <w:rFonts w:asciiTheme="minorHAnsi" w:eastAsia="Times New Roman" w:hAnsiTheme="minorHAnsi"/>
              </w:rPr>
              <w:t>comply</w:t>
            </w:r>
          </w:p>
        </w:tc>
        <w:tc>
          <w:tcPr>
            <w:tcW w:w="2333" w:type="pct"/>
            <w:tcBorders>
              <w:top w:val="outset" w:sz="6" w:space="0" w:color="000000"/>
              <w:left w:val="outset" w:sz="6" w:space="0" w:color="000000"/>
              <w:bottom w:val="outset" w:sz="6" w:space="0" w:color="000000"/>
              <w:right w:val="outset" w:sz="6" w:space="0" w:color="000000"/>
            </w:tcBorders>
            <w:hideMark/>
          </w:tcPr>
          <w:p w14:paraId="1AEDCAE0" w14:textId="77777777" w:rsidR="00275CF7" w:rsidRPr="005932B0" w:rsidRDefault="00275CF7" w:rsidP="0027134A">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Up to $1,000 + up to</w:t>
            </w:r>
          </w:p>
          <w:p w14:paraId="2F8CA8CD" w14:textId="77777777" w:rsidR="00275CF7" w:rsidRPr="005932B0" w:rsidRDefault="00275CF7" w:rsidP="0027134A">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$250 for each day the entity failed to comply</w:t>
            </w:r>
          </w:p>
        </w:tc>
      </w:tr>
      <w:tr w:rsidR="00275CF7" w:rsidRPr="00B443FB" w14:paraId="49AF1022"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743F4131" w14:textId="09D445A1"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 xml:space="preserve">Repeated violations of interim loan </w:t>
            </w:r>
            <w:r w:rsidRPr="00B443FB">
              <w:rPr>
                <w:rFonts w:asciiTheme="minorHAnsi" w:eastAsia="Times New Roman" w:hAnsiTheme="minorHAnsi"/>
              </w:rPr>
              <w:br/>
              <w:t>terms or timeline</w:t>
            </w:r>
          </w:p>
        </w:tc>
        <w:tc>
          <w:tcPr>
            <w:tcW w:w="1098" w:type="pct"/>
            <w:tcBorders>
              <w:top w:val="outset" w:sz="6" w:space="0" w:color="000000"/>
              <w:left w:val="outset" w:sz="6" w:space="0" w:color="000000"/>
              <w:bottom w:val="outset" w:sz="6" w:space="0" w:color="000000"/>
              <w:right w:val="outset" w:sz="6" w:space="0" w:color="000000"/>
            </w:tcBorders>
            <w:hideMark/>
          </w:tcPr>
          <w:p w14:paraId="39B4F321"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2333" w:type="pct"/>
            <w:tcBorders>
              <w:top w:val="outset" w:sz="6" w:space="0" w:color="000000"/>
              <w:left w:val="outset" w:sz="6" w:space="0" w:color="000000"/>
              <w:bottom w:val="outset" w:sz="6" w:space="0" w:color="000000"/>
              <w:right w:val="outset" w:sz="6" w:space="0" w:color="000000"/>
            </w:tcBorders>
            <w:hideMark/>
          </w:tcPr>
          <w:p w14:paraId="6DE01C6A"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275CF7" w:rsidRPr="00B443FB" w14:paraId="7D7327B2"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5C0ACB7B"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Records retention violations</w:t>
            </w:r>
          </w:p>
        </w:tc>
        <w:tc>
          <w:tcPr>
            <w:tcW w:w="1098" w:type="pct"/>
            <w:tcBorders>
              <w:top w:val="outset" w:sz="6" w:space="0" w:color="000000"/>
              <w:left w:val="outset" w:sz="6" w:space="0" w:color="000000"/>
              <w:bottom w:val="outset" w:sz="6" w:space="0" w:color="000000"/>
              <w:right w:val="outset" w:sz="6" w:space="0" w:color="000000"/>
            </w:tcBorders>
            <w:hideMark/>
          </w:tcPr>
          <w:p w14:paraId="252D1370"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$100 per violation</w:t>
            </w:r>
          </w:p>
        </w:tc>
        <w:tc>
          <w:tcPr>
            <w:tcW w:w="2333" w:type="pct"/>
            <w:tcBorders>
              <w:top w:val="outset" w:sz="6" w:space="0" w:color="000000"/>
              <w:left w:val="outset" w:sz="6" w:space="0" w:color="000000"/>
              <w:bottom w:val="outset" w:sz="6" w:space="0" w:color="000000"/>
              <w:right w:val="outset" w:sz="6" w:space="0" w:color="000000"/>
            </w:tcBorders>
            <w:hideMark/>
          </w:tcPr>
          <w:p w14:paraId="4D4F7CCA"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$200 per violation</w:t>
            </w:r>
          </w:p>
        </w:tc>
      </w:tr>
      <w:tr w:rsidR="00275CF7" w:rsidRPr="00B443FB" w14:paraId="741D66EE"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45C6E175" w14:textId="41FF25B8"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Failure to attend required training as required by program rule, policy or agreement</w:t>
            </w:r>
          </w:p>
        </w:tc>
        <w:tc>
          <w:tcPr>
            <w:tcW w:w="1098" w:type="pct"/>
            <w:tcBorders>
              <w:top w:val="outset" w:sz="6" w:space="0" w:color="000000"/>
              <w:left w:val="outset" w:sz="6" w:space="0" w:color="000000"/>
              <w:bottom w:val="outset" w:sz="6" w:space="0" w:color="000000"/>
              <w:right w:val="outset" w:sz="6" w:space="0" w:color="000000"/>
            </w:tcBorders>
            <w:hideMark/>
          </w:tcPr>
          <w:p w14:paraId="79C420D7"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$100 per violation</w:t>
            </w:r>
          </w:p>
        </w:tc>
        <w:tc>
          <w:tcPr>
            <w:tcW w:w="2333" w:type="pct"/>
            <w:tcBorders>
              <w:top w:val="outset" w:sz="6" w:space="0" w:color="000000"/>
              <w:left w:val="outset" w:sz="6" w:space="0" w:color="000000"/>
              <w:bottom w:val="outset" w:sz="6" w:space="0" w:color="000000"/>
              <w:right w:val="outset" w:sz="6" w:space="0" w:color="000000"/>
            </w:tcBorders>
            <w:hideMark/>
          </w:tcPr>
          <w:p w14:paraId="742CC20D"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$200 per violation</w:t>
            </w:r>
          </w:p>
        </w:tc>
      </w:tr>
      <w:tr w:rsidR="00275CF7" w:rsidRPr="00B443FB" w14:paraId="6E9D03C2"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27029C31"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Providing assistance to households that are not</w:t>
            </w:r>
            <w:r w:rsidRPr="00B443FB">
              <w:rPr>
                <w:rFonts w:asciiTheme="minorHAnsi" w:eastAsia="Times New Roman" w:hAnsiTheme="minorHAnsi"/>
              </w:rPr>
              <w:br/>
              <w:t xml:space="preserve">income eligible </w:t>
            </w:r>
          </w:p>
        </w:tc>
        <w:tc>
          <w:tcPr>
            <w:tcW w:w="1098" w:type="pct"/>
            <w:tcBorders>
              <w:top w:val="outset" w:sz="6" w:space="0" w:color="000000"/>
              <w:left w:val="outset" w:sz="6" w:space="0" w:color="000000"/>
              <w:bottom w:val="outset" w:sz="6" w:space="0" w:color="000000"/>
              <w:right w:val="outset" w:sz="6" w:space="0" w:color="000000"/>
            </w:tcBorders>
            <w:hideMark/>
          </w:tcPr>
          <w:p w14:paraId="2A2ED4A6"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2333" w:type="pct"/>
            <w:tcBorders>
              <w:top w:val="outset" w:sz="6" w:space="0" w:color="000000"/>
              <w:left w:val="outset" w:sz="6" w:space="0" w:color="000000"/>
              <w:bottom w:val="outset" w:sz="6" w:space="0" w:color="000000"/>
              <w:right w:val="outset" w:sz="6" w:space="0" w:color="000000"/>
            </w:tcBorders>
            <w:hideMark/>
          </w:tcPr>
          <w:p w14:paraId="61A0BDC4"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275CF7" w:rsidRPr="00B443FB" w14:paraId="02F5DABB"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18A61779"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Violations of construction standards</w:t>
            </w:r>
          </w:p>
        </w:tc>
        <w:tc>
          <w:tcPr>
            <w:tcW w:w="1098" w:type="pct"/>
            <w:tcBorders>
              <w:top w:val="outset" w:sz="6" w:space="0" w:color="000000"/>
              <w:left w:val="outset" w:sz="6" w:space="0" w:color="000000"/>
              <w:bottom w:val="outset" w:sz="6" w:space="0" w:color="000000"/>
              <w:right w:val="outset" w:sz="6" w:space="0" w:color="000000"/>
            </w:tcBorders>
            <w:hideMark/>
          </w:tcPr>
          <w:p w14:paraId="36DF494F"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2333" w:type="pct"/>
            <w:tcBorders>
              <w:top w:val="outset" w:sz="6" w:space="0" w:color="000000"/>
              <w:left w:val="outset" w:sz="6" w:space="0" w:color="000000"/>
              <w:bottom w:val="outset" w:sz="6" w:space="0" w:color="000000"/>
              <w:right w:val="outset" w:sz="6" w:space="0" w:color="000000"/>
            </w:tcBorders>
            <w:hideMark/>
          </w:tcPr>
          <w:p w14:paraId="2F0C3910"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275CF7" w:rsidRPr="00B443FB" w14:paraId="1EFF9EBD"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2CD4E917"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Violations of property condition standards</w:t>
            </w:r>
            <w:r w:rsidRPr="00B443FB">
              <w:rPr>
                <w:rFonts w:asciiTheme="minorHAnsi" w:eastAsia="Times New Roman" w:hAnsiTheme="minorHAnsi"/>
              </w:rPr>
              <w:br/>
            </w:r>
          </w:p>
        </w:tc>
        <w:tc>
          <w:tcPr>
            <w:tcW w:w="1098" w:type="pct"/>
            <w:tcBorders>
              <w:top w:val="outset" w:sz="6" w:space="0" w:color="000000"/>
              <w:left w:val="outset" w:sz="6" w:space="0" w:color="000000"/>
              <w:bottom w:val="outset" w:sz="6" w:space="0" w:color="000000"/>
              <w:right w:val="outset" w:sz="6" w:space="0" w:color="000000"/>
            </w:tcBorders>
            <w:hideMark/>
          </w:tcPr>
          <w:p w14:paraId="7EFED0D3"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2333" w:type="pct"/>
            <w:tcBorders>
              <w:top w:val="outset" w:sz="6" w:space="0" w:color="000000"/>
              <w:left w:val="outset" w:sz="6" w:space="0" w:color="000000"/>
              <w:bottom w:val="outset" w:sz="6" w:space="0" w:color="000000"/>
              <w:right w:val="outset" w:sz="6" w:space="0" w:color="000000"/>
            </w:tcBorders>
            <w:hideMark/>
          </w:tcPr>
          <w:p w14:paraId="109E2BB6"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275CF7" w:rsidRPr="00B443FB" w14:paraId="03EA070E"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4F798649" w14:textId="7456CCD2"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Violation of Conflict of Interest Policies</w:t>
            </w:r>
          </w:p>
        </w:tc>
        <w:tc>
          <w:tcPr>
            <w:tcW w:w="1098" w:type="pct"/>
            <w:tcBorders>
              <w:top w:val="outset" w:sz="6" w:space="0" w:color="000000"/>
              <w:left w:val="outset" w:sz="6" w:space="0" w:color="000000"/>
              <w:bottom w:val="outset" w:sz="6" w:space="0" w:color="000000"/>
              <w:right w:val="outset" w:sz="6" w:space="0" w:color="000000"/>
            </w:tcBorders>
            <w:hideMark/>
          </w:tcPr>
          <w:p w14:paraId="04217F42"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2333" w:type="pct"/>
            <w:tcBorders>
              <w:top w:val="outset" w:sz="6" w:space="0" w:color="000000"/>
              <w:left w:val="outset" w:sz="6" w:space="0" w:color="000000"/>
              <w:bottom w:val="outset" w:sz="6" w:space="0" w:color="000000"/>
              <w:right w:val="outset" w:sz="6" w:space="0" w:color="000000"/>
            </w:tcBorders>
            <w:hideMark/>
          </w:tcPr>
          <w:p w14:paraId="141BA733"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275CF7" w:rsidRPr="00B443FB" w14:paraId="58239770"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441D480D"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 xml:space="preserve">Violation of program policies regarding us of </w:t>
            </w:r>
            <w:r w:rsidRPr="00B443FB">
              <w:rPr>
                <w:rFonts w:asciiTheme="minorHAnsi" w:eastAsia="Times New Roman" w:hAnsiTheme="minorHAnsi"/>
              </w:rPr>
              <w:br/>
              <w:t>funds for sectarian or religious activity</w:t>
            </w:r>
          </w:p>
        </w:tc>
        <w:tc>
          <w:tcPr>
            <w:tcW w:w="1098" w:type="pct"/>
            <w:tcBorders>
              <w:top w:val="outset" w:sz="6" w:space="0" w:color="000000"/>
              <w:left w:val="outset" w:sz="6" w:space="0" w:color="000000"/>
              <w:bottom w:val="outset" w:sz="6" w:space="0" w:color="000000"/>
              <w:right w:val="outset" w:sz="6" w:space="0" w:color="000000"/>
            </w:tcBorders>
            <w:hideMark/>
          </w:tcPr>
          <w:p w14:paraId="3261FBC2"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2333" w:type="pct"/>
            <w:tcBorders>
              <w:top w:val="outset" w:sz="6" w:space="0" w:color="000000"/>
              <w:left w:val="outset" w:sz="6" w:space="0" w:color="000000"/>
              <w:bottom w:val="outset" w:sz="6" w:space="0" w:color="000000"/>
              <w:right w:val="outset" w:sz="6" w:space="0" w:color="000000"/>
            </w:tcBorders>
            <w:hideMark/>
          </w:tcPr>
          <w:p w14:paraId="7403FD91"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275CF7" w:rsidRPr="00B443FB" w14:paraId="27FD4958"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687595F3"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Failure to comply with Limited English</w:t>
            </w:r>
            <w:r w:rsidRPr="00B443FB">
              <w:rPr>
                <w:rFonts w:asciiTheme="minorHAnsi" w:eastAsia="Times New Roman" w:hAnsiTheme="minorHAnsi"/>
              </w:rPr>
              <w:br/>
              <w:t xml:space="preserve">Proficiency ("LEP") policies </w:t>
            </w:r>
            <w:r w:rsidRPr="00B443FB">
              <w:rPr>
                <w:rFonts w:asciiTheme="minorHAnsi" w:eastAsia="Times New Roman" w:hAnsiTheme="minorHAnsi"/>
              </w:rPr>
              <w:lastRenderedPageBreak/>
              <w:t>in accordance</w:t>
            </w:r>
            <w:r w:rsidRPr="00B443FB">
              <w:rPr>
                <w:rFonts w:asciiTheme="minorHAnsi" w:eastAsia="Times New Roman" w:hAnsiTheme="minorHAnsi"/>
              </w:rPr>
              <w:br/>
              <w:t>with program rule,</w:t>
            </w:r>
            <w:r w:rsidRPr="00B443FB">
              <w:rPr>
                <w:rFonts w:asciiTheme="minorHAnsi" w:eastAsia="Times New Roman" w:hAnsiTheme="minorHAnsi"/>
              </w:rPr>
              <w:br/>
              <w:t>policy or agreement</w:t>
            </w:r>
          </w:p>
        </w:tc>
        <w:tc>
          <w:tcPr>
            <w:tcW w:w="1098" w:type="pct"/>
            <w:tcBorders>
              <w:top w:val="outset" w:sz="6" w:space="0" w:color="000000"/>
              <w:left w:val="outset" w:sz="6" w:space="0" w:color="000000"/>
              <w:bottom w:val="outset" w:sz="6" w:space="0" w:color="000000"/>
              <w:right w:val="outset" w:sz="6" w:space="0" w:color="000000"/>
            </w:tcBorders>
            <w:hideMark/>
          </w:tcPr>
          <w:p w14:paraId="02068B8F"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lastRenderedPageBreak/>
              <w:t>Up to $500</w:t>
            </w:r>
          </w:p>
        </w:tc>
        <w:tc>
          <w:tcPr>
            <w:tcW w:w="2333" w:type="pct"/>
            <w:tcBorders>
              <w:top w:val="outset" w:sz="6" w:space="0" w:color="000000"/>
              <w:left w:val="outset" w:sz="6" w:space="0" w:color="000000"/>
              <w:bottom w:val="outset" w:sz="6" w:space="0" w:color="000000"/>
              <w:right w:val="outset" w:sz="6" w:space="0" w:color="000000"/>
            </w:tcBorders>
            <w:hideMark/>
          </w:tcPr>
          <w:p w14:paraId="50249F3A"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275CF7" w:rsidRPr="00B443FB" w14:paraId="1A4A85AA"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3AF37435"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Failure to comply with labor standards</w:t>
            </w:r>
            <w:r w:rsidRPr="00B443FB">
              <w:rPr>
                <w:rFonts w:asciiTheme="minorHAnsi" w:eastAsia="Times New Roman" w:hAnsiTheme="minorHAnsi"/>
              </w:rPr>
              <w:br/>
              <w:t>requirements in accordance with program</w:t>
            </w:r>
            <w:r w:rsidRPr="00B443FB">
              <w:rPr>
                <w:rFonts w:asciiTheme="minorHAnsi" w:eastAsia="Times New Roman" w:hAnsiTheme="minorHAnsi"/>
              </w:rPr>
              <w:br/>
              <w:t>rule, policy or agreement</w:t>
            </w:r>
          </w:p>
        </w:tc>
        <w:tc>
          <w:tcPr>
            <w:tcW w:w="1098" w:type="pct"/>
            <w:tcBorders>
              <w:top w:val="outset" w:sz="6" w:space="0" w:color="000000"/>
              <w:left w:val="outset" w:sz="6" w:space="0" w:color="000000"/>
              <w:bottom w:val="outset" w:sz="6" w:space="0" w:color="000000"/>
              <w:right w:val="outset" w:sz="6" w:space="0" w:color="000000"/>
            </w:tcBorders>
            <w:hideMark/>
          </w:tcPr>
          <w:p w14:paraId="28BDFAC9"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$500</w:t>
            </w:r>
          </w:p>
        </w:tc>
        <w:tc>
          <w:tcPr>
            <w:tcW w:w="2333" w:type="pct"/>
            <w:tcBorders>
              <w:top w:val="outset" w:sz="6" w:space="0" w:color="000000"/>
              <w:left w:val="outset" w:sz="6" w:space="0" w:color="000000"/>
              <w:bottom w:val="outset" w:sz="6" w:space="0" w:color="000000"/>
              <w:right w:val="outset" w:sz="6" w:space="0" w:color="000000"/>
            </w:tcBorders>
            <w:hideMark/>
          </w:tcPr>
          <w:p w14:paraId="1B4AA938" w14:textId="77777777" w:rsidR="00275CF7" w:rsidRPr="00B443FB" w:rsidRDefault="00275CF7" w:rsidP="0027134A">
            <w:pPr>
              <w:spacing w:line="240" w:lineRule="auto"/>
              <w:rPr>
                <w:rFonts w:asciiTheme="minorHAnsi" w:eastAsia="Times New Roman" w:hAnsiTheme="minorHAnsi"/>
              </w:rPr>
            </w:pPr>
            <w:r w:rsidRPr="00B443FB">
              <w:rPr>
                <w:rFonts w:asciiTheme="minorHAnsi" w:eastAsia="Times New Roman" w:hAnsiTheme="minorHAnsi"/>
              </w:rPr>
              <w:t>Up to $1,000</w:t>
            </w:r>
          </w:p>
        </w:tc>
      </w:tr>
      <w:tr w:rsidR="00CB5F10" w:rsidRPr="00B443FB" w14:paraId="50BFF9AF"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37F686B4" w14:textId="40FC9158"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Violation of Procurement</w:t>
            </w:r>
            <w:r w:rsidRPr="00B443FB">
              <w:rPr>
                <w:rFonts w:asciiTheme="minorHAnsi" w:eastAsia="Times New Roman" w:hAnsiTheme="minorHAnsi"/>
              </w:rPr>
              <w:br/>
              <w:t>Requirements</w:t>
            </w:r>
          </w:p>
        </w:tc>
        <w:tc>
          <w:tcPr>
            <w:tcW w:w="1098" w:type="pct"/>
            <w:tcBorders>
              <w:top w:val="outset" w:sz="6" w:space="0" w:color="000000"/>
              <w:left w:val="outset" w:sz="6" w:space="0" w:color="000000"/>
              <w:bottom w:val="outset" w:sz="6" w:space="0" w:color="000000"/>
              <w:right w:val="outset" w:sz="6" w:space="0" w:color="000000"/>
            </w:tcBorders>
            <w:hideMark/>
          </w:tcPr>
          <w:p w14:paraId="079A66DC" w14:textId="3460BCF4"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 xml:space="preserve">Up to $1,000 for each service or </w:t>
            </w:r>
            <w:r w:rsidRPr="00B443FB">
              <w:rPr>
                <w:rFonts w:asciiTheme="minorHAnsi" w:eastAsia="Times New Roman" w:hAnsiTheme="minorHAnsi"/>
              </w:rPr>
              <w:br/>
              <w:t>product not properly procured</w:t>
            </w:r>
            <w:r w:rsidRPr="00B443FB">
              <w:rPr>
                <w:rFonts w:asciiTheme="minorHAnsi" w:eastAsia="Times New Roman" w:hAnsiTheme="minorHAnsi"/>
              </w:rPr>
              <w:br/>
            </w:r>
          </w:p>
        </w:tc>
        <w:tc>
          <w:tcPr>
            <w:tcW w:w="2333" w:type="pct"/>
            <w:tcBorders>
              <w:top w:val="outset" w:sz="6" w:space="0" w:color="000000"/>
              <w:left w:val="outset" w:sz="6" w:space="0" w:color="000000"/>
              <w:bottom w:val="outset" w:sz="6" w:space="0" w:color="000000"/>
              <w:right w:val="outset" w:sz="6" w:space="0" w:color="000000"/>
            </w:tcBorders>
            <w:hideMark/>
          </w:tcPr>
          <w:p w14:paraId="4968B3A1" w14:textId="7E3DAA43"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Up to $1,000 for each service or</w:t>
            </w:r>
            <w:r w:rsidRPr="00B443FB">
              <w:rPr>
                <w:rFonts w:asciiTheme="minorHAnsi" w:eastAsia="Times New Roman" w:hAnsiTheme="minorHAnsi"/>
              </w:rPr>
              <w:br/>
              <w:t>product not properly procured</w:t>
            </w:r>
          </w:p>
        </w:tc>
      </w:tr>
      <w:tr w:rsidR="00CB5F10" w:rsidRPr="00B443FB" w14:paraId="5E0B4082"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6FDA9260" w14:textId="18E14B9B" w:rsidR="00CB5F10" w:rsidRPr="00B443FB" w:rsidRDefault="00CB5F10" w:rsidP="00CB5F10">
            <w:pPr>
              <w:spacing w:line="240" w:lineRule="auto"/>
              <w:rPr>
                <w:rFonts w:asciiTheme="minorHAnsi" w:eastAsia="Times New Roman" w:hAnsiTheme="minorHAnsi"/>
              </w:rPr>
            </w:pPr>
            <w:r>
              <w:rPr>
                <w:rFonts w:asciiTheme="minorHAnsi" w:eastAsia="Times New Roman" w:hAnsiTheme="minorHAnsi"/>
              </w:rPr>
              <w:t xml:space="preserve"> </w:t>
            </w:r>
            <w:r w:rsidRPr="00B443FB">
              <w:rPr>
                <w:rFonts w:asciiTheme="minorHAnsi" w:eastAsia="Times New Roman" w:hAnsiTheme="minorHAnsi"/>
              </w:rPr>
              <w:t>Failure to comply with Section 3 requirements in</w:t>
            </w:r>
            <w:r w:rsidRPr="00B443FB">
              <w:rPr>
                <w:rFonts w:asciiTheme="minorHAnsi" w:eastAsia="Times New Roman" w:hAnsiTheme="minorHAnsi"/>
              </w:rPr>
              <w:br/>
              <w:t>accordance with program</w:t>
            </w:r>
            <w:r w:rsidRPr="00B443FB">
              <w:rPr>
                <w:rFonts w:asciiTheme="minorHAnsi" w:eastAsia="Times New Roman" w:hAnsiTheme="minorHAnsi"/>
              </w:rPr>
              <w:br/>
              <w:t>rule, policy</w:t>
            </w:r>
            <w:r>
              <w:rPr>
                <w:rFonts w:asciiTheme="minorHAnsi" w:eastAsia="Times New Roman" w:hAnsiTheme="minorHAnsi"/>
              </w:rPr>
              <w:t>,</w:t>
            </w:r>
            <w:r w:rsidRPr="00B443FB">
              <w:rPr>
                <w:rFonts w:asciiTheme="minorHAnsi" w:eastAsia="Times New Roman" w:hAnsiTheme="minorHAnsi"/>
              </w:rPr>
              <w:t xml:space="preserve"> or agreement</w:t>
            </w:r>
          </w:p>
        </w:tc>
        <w:tc>
          <w:tcPr>
            <w:tcW w:w="1098" w:type="pct"/>
            <w:tcBorders>
              <w:top w:val="outset" w:sz="6" w:space="0" w:color="000000"/>
              <w:left w:val="outset" w:sz="6" w:space="0" w:color="000000"/>
              <w:bottom w:val="outset" w:sz="6" w:space="0" w:color="000000"/>
              <w:right w:val="outset" w:sz="6" w:space="0" w:color="000000"/>
            </w:tcBorders>
            <w:hideMark/>
          </w:tcPr>
          <w:p w14:paraId="2F2E6AFB" w14:textId="77777777"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Up to $500</w:t>
            </w:r>
          </w:p>
        </w:tc>
        <w:tc>
          <w:tcPr>
            <w:tcW w:w="2333" w:type="pct"/>
            <w:tcBorders>
              <w:top w:val="outset" w:sz="6" w:space="0" w:color="000000"/>
              <w:left w:val="outset" w:sz="6" w:space="0" w:color="000000"/>
              <w:bottom w:val="outset" w:sz="6" w:space="0" w:color="000000"/>
              <w:right w:val="outset" w:sz="6" w:space="0" w:color="000000"/>
            </w:tcBorders>
            <w:hideMark/>
          </w:tcPr>
          <w:p w14:paraId="22CAEDA3" w14:textId="77777777"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Up to $1,000</w:t>
            </w:r>
          </w:p>
        </w:tc>
      </w:tr>
      <w:tr w:rsidR="00CB5F10" w:rsidRPr="00B443FB" w14:paraId="6D812DC7"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70B6A134" w14:textId="48323BC7"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Failure to comply with displacement policies</w:t>
            </w:r>
            <w:r w:rsidRPr="00B443FB">
              <w:rPr>
                <w:rFonts w:asciiTheme="minorHAnsi" w:eastAsia="Times New Roman" w:hAnsiTheme="minorHAnsi"/>
              </w:rPr>
              <w:br/>
              <w:t>as required by program rule, policy</w:t>
            </w:r>
            <w:r>
              <w:rPr>
                <w:rFonts w:asciiTheme="minorHAnsi" w:eastAsia="Times New Roman" w:hAnsiTheme="minorHAnsi"/>
              </w:rPr>
              <w:t>,</w:t>
            </w:r>
            <w:r w:rsidRPr="00B443FB">
              <w:rPr>
                <w:rFonts w:asciiTheme="minorHAnsi" w:eastAsia="Times New Roman" w:hAnsiTheme="minorHAnsi"/>
              </w:rPr>
              <w:t xml:space="preserve"> or agreement</w:t>
            </w:r>
            <w:r w:rsidRPr="00B443FB">
              <w:rPr>
                <w:rFonts w:asciiTheme="minorHAnsi" w:eastAsia="Times New Roman" w:hAnsiTheme="minorHAnsi"/>
              </w:rPr>
              <w:br/>
            </w:r>
          </w:p>
        </w:tc>
        <w:tc>
          <w:tcPr>
            <w:tcW w:w="1098" w:type="pct"/>
            <w:tcBorders>
              <w:top w:val="outset" w:sz="6" w:space="0" w:color="000000"/>
              <w:left w:val="outset" w:sz="6" w:space="0" w:color="000000"/>
              <w:bottom w:val="outset" w:sz="6" w:space="0" w:color="000000"/>
              <w:right w:val="outset" w:sz="6" w:space="0" w:color="000000"/>
            </w:tcBorders>
            <w:hideMark/>
          </w:tcPr>
          <w:p w14:paraId="295329E6" w14:textId="77777777"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Up to $500</w:t>
            </w:r>
          </w:p>
        </w:tc>
        <w:tc>
          <w:tcPr>
            <w:tcW w:w="2333" w:type="pct"/>
            <w:tcBorders>
              <w:top w:val="outset" w:sz="6" w:space="0" w:color="000000"/>
              <w:left w:val="outset" w:sz="6" w:space="0" w:color="000000"/>
              <w:bottom w:val="outset" w:sz="6" w:space="0" w:color="000000"/>
              <w:right w:val="outset" w:sz="6" w:space="0" w:color="000000"/>
            </w:tcBorders>
            <w:hideMark/>
          </w:tcPr>
          <w:p w14:paraId="767B2682" w14:textId="77777777"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Up to $1,000</w:t>
            </w:r>
          </w:p>
        </w:tc>
      </w:tr>
      <w:tr w:rsidR="00CB5F10" w:rsidRPr="00B443FB" w14:paraId="27351EA4"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0FC62282" w14:textId="77777777"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Failure to provide Tenant Income Certification and</w:t>
            </w:r>
            <w:r w:rsidRPr="00B443FB">
              <w:rPr>
                <w:rFonts w:asciiTheme="minorHAnsi" w:eastAsia="Times New Roman" w:hAnsiTheme="minorHAnsi"/>
              </w:rPr>
              <w:br/>
              <w:t>documentation</w:t>
            </w:r>
          </w:p>
        </w:tc>
        <w:tc>
          <w:tcPr>
            <w:tcW w:w="1098" w:type="pct"/>
            <w:tcBorders>
              <w:top w:val="outset" w:sz="6" w:space="0" w:color="000000"/>
              <w:left w:val="outset" w:sz="6" w:space="0" w:color="000000"/>
              <w:bottom w:val="outset" w:sz="6" w:space="0" w:color="000000"/>
              <w:right w:val="outset" w:sz="6" w:space="0" w:color="000000"/>
            </w:tcBorders>
            <w:hideMark/>
          </w:tcPr>
          <w:p w14:paraId="3F268867" w14:textId="77777777"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Up to $250 per violation</w:t>
            </w:r>
          </w:p>
        </w:tc>
        <w:tc>
          <w:tcPr>
            <w:tcW w:w="2333" w:type="pct"/>
            <w:tcBorders>
              <w:top w:val="outset" w:sz="6" w:space="0" w:color="000000"/>
              <w:left w:val="outset" w:sz="6" w:space="0" w:color="000000"/>
              <w:bottom w:val="outset" w:sz="6" w:space="0" w:color="000000"/>
              <w:right w:val="outset" w:sz="6" w:space="0" w:color="000000"/>
            </w:tcBorders>
            <w:hideMark/>
          </w:tcPr>
          <w:p w14:paraId="444BB394" w14:textId="77777777"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Up to $250 violation</w:t>
            </w:r>
          </w:p>
        </w:tc>
      </w:tr>
      <w:tr w:rsidR="00CB5F10" w:rsidRPr="00B443FB" w14:paraId="2ED9A135"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3BE5464E" w14:textId="77777777"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 xml:space="preserve">Failure to collect data required by program rules, policies or </w:t>
            </w:r>
            <w:r w:rsidRPr="00B443FB">
              <w:rPr>
                <w:rFonts w:asciiTheme="minorHAnsi" w:eastAsia="Times New Roman" w:hAnsiTheme="minorHAnsi"/>
              </w:rPr>
              <w:br/>
              <w:t>agreements</w:t>
            </w:r>
          </w:p>
        </w:tc>
        <w:tc>
          <w:tcPr>
            <w:tcW w:w="1098" w:type="pct"/>
            <w:tcBorders>
              <w:top w:val="outset" w:sz="6" w:space="0" w:color="000000"/>
              <w:left w:val="outset" w:sz="6" w:space="0" w:color="000000"/>
              <w:bottom w:val="outset" w:sz="6" w:space="0" w:color="000000"/>
              <w:right w:val="outset" w:sz="6" w:space="0" w:color="000000"/>
            </w:tcBorders>
            <w:hideMark/>
          </w:tcPr>
          <w:p w14:paraId="65C6F82C" w14:textId="77777777"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Up to $50 per violation</w:t>
            </w:r>
          </w:p>
        </w:tc>
        <w:tc>
          <w:tcPr>
            <w:tcW w:w="2333" w:type="pct"/>
            <w:tcBorders>
              <w:top w:val="outset" w:sz="6" w:space="0" w:color="000000"/>
              <w:left w:val="outset" w:sz="6" w:space="0" w:color="000000"/>
              <w:bottom w:val="outset" w:sz="6" w:space="0" w:color="000000"/>
              <w:right w:val="outset" w:sz="6" w:space="0" w:color="000000"/>
            </w:tcBorders>
            <w:hideMark/>
          </w:tcPr>
          <w:p w14:paraId="1D2BA806" w14:textId="77777777" w:rsidR="00CB5F10" w:rsidRPr="00B443FB" w:rsidRDefault="00CB5F10" w:rsidP="00CB5F10">
            <w:pPr>
              <w:spacing w:line="240" w:lineRule="auto"/>
              <w:rPr>
                <w:rFonts w:asciiTheme="minorHAnsi" w:eastAsia="Times New Roman" w:hAnsiTheme="minorHAnsi"/>
              </w:rPr>
            </w:pPr>
            <w:r w:rsidRPr="00B443FB">
              <w:rPr>
                <w:rFonts w:asciiTheme="minorHAnsi" w:eastAsia="Times New Roman" w:hAnsiTheme="minorHAnsi"/>
              </w:rPr>
              <w:t>Up to $100 per violation</w:t>
            </w:r>
          </w:p>
        </w:tc>
      </w:tr>
      <w:tr w:rsidR="00472FFB" w:rsidRPr="00B443FB" w14:paraId="1149B484"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6E0A3C7A" w14:textId="7D69E676"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Failure to provide required documentation or</w:t>
            </w:r>
            <w:r w:rsidRPr="00B443FB">
              <w:rPr>
                <w:rFonts w:asciiTheme="minorHAnsi" w:eastAsia="Times New Roman" w:hAnsiTheme="minorHAnsi"/>
              </w:rPr>
              <w:br/>
              <w:t xml:space="preserve">corrections to </w:t>
            </w:r>
            <w:r w:rsidRPr="00B443FB">
              <w:rPr>
                <w:rFonts w:asciiTheme="minorHAnsi" w:eastAsia="Times New Roman" w:hAnsiTheme="minorHAnsi"/>
              </w:rPr>
              <w:br/>
              <w:t>documentation</w:t>
            </w:r>
          </w:p>
        </w:tc>
        <w:tc>
          <w:tcPr>
            <w:tcW w:w="1098" w:type="pct"/>
            <w:tcBorders>
              <w:top w:val="outset" w:sz="6" w:space="0" w:color="000000"/>
              <w:left w:val="outset" w:sz="6" w:space="0" w:color="000000"/>
              <w:bottom w:val="outset" w:sz="6" w:space="0" w:color="000000"/>
              <w:right w:val="outset" w:sz="6" w:space="0" w:color="000000"/>
            </w:tcBorders>
            <w:hideMark/>
          </w:tcPr>
          <w:p w14:paraId="19BF0670" w14:textId="62BB289D"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$50 per day</w:t>
            </w:r>
          </w:p>
        </w:tc>
        <w:tc>
          <w:tcPr>
            <w:tcW w:w="2333" w:type="pct"/>
            <w:tcBorders>
              <w:top w:val="outset" w:sz="6" w:space="0" w:color="000000"/>
              <w:left w:val="outset" w:sz="6" w:space="0" w:color="000000"/>
              <w:bottom w:val="outset" w:sz="6" w:space="0" w:color="000000"/>
              <w:right w:val="outset" w:sz="6" w:space="0" w:color="000000"/>
            </w:tcBorders>
            <w:hideMark/>
          </w:tcPr>
          <w:p w14:paraId="5066C2BD" w14:textId="4111F0AB"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$150 per day</w:t>
            </w:r>
          </w:p>
        </w:tc>
      </w:tr>
      <w:tr w:rsidR="00472FFB" w:rsidRPr="00B443FB" w14:paraId="46F00F33"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539ED5FD" w14:textId="309AF57E"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Development evicted or terminated the tenancy of</w:t>
            </w:r>
            <w:r w:rsidRPr="00B443FB">
              <w:rPr>
                <w:rFonts w:asciiTheme="minorHAnsi" w:eastAsia="Times New Roman" w:hAnsiTheme="minorHAnsi"/>
              </w:rPr>
              <w:br/>
              <w:t>a low-income tenant for</w:t>
            </w:r>
            <w:r w:rsidRPr="00B443FB">
              <w:rPr>
                <w:rFonts w:asciiTheme="minorHAnsi" w:eastAsia="Times New Roman" w:hAnsiTheme="minorHAnsi"/>
              </w:rPr>
              <w:br/>
              <w:t>other than good cause</w:t>
            </w:r>
          </w:p>
        </w:tc>
        <w:tc>
          <w:tcPr>
            <w:tcW w:w="1098" w:type="pct"/>
            <w:tcBorders>
              <w:top w:val="outset" w:sz="6" w:space="0" w:color="000000"/>
              <w:left w:val="outset" w:sz="6" w:space="0" w:color="000000"/>
              <w:bottom w:val="outset" w:sz="6" w:space="0" w:color="000000"/>
              <w:right w:val="outset" w:sz="6" w:space="0" w:color="000000"/>
            </w:tcBorders>
            <w:hideMark/>
          </w:tcPr>
          <w:p w14:paraId="0F8420EE" w14:textId="43C8BF9C"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$500 per violation</w:t>
            </w:r>
          </w:p>
        </w:tc>
        <w:tc>
          <w:tcPr>
            <w:tcW w:w="2333" w:type="pct"/>
            <w:tcBorders>
              <w:top w:val="outset" w:sz="6" w:space="0" w:color="000000"/>
              <w:left w:val="outset" w:sz="6" w:space="0" w:color="000000"/>
              <w:bottom w:val="outset" w:sz="6" w:space="0" w:color="000000"/>
              <w:right w:val="outset" w:sz="6" w:space="0" w:color="000000"/>
            </w:tcBorders>
            <w:hideMark/>
          </w:tcPr>
          <w:p w14:paraId="5AF01204" w14:textId="076B9F8A"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$1,000 per violation</w:t>
            </w:r>
          </w:p>
        </w:tc>
      </w:tr>
      <w:tr w:rsidR="00472FFB" w:rsidRPr="00B443FB" w14:paraId="20346E20"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0283F903" w14:textId="51C71AC7"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For tenant-based rental programs, Household</w:t>
            </w:r>
            <w:r w:rsidRPr="00B443FB">
              <w:rPr>
                <w:rFonts w:asciiTheme="minorHAnsi" w:eastAsia="Times New Roman" w:hAnsiTheme="minorHAnsi"/>
              </w:rPr>
              <w:br/>
              <w:t>income increased above 80 percent at</w:t>
            </w:r>
            <w:r w:rsidRPr="00B443FB">
              <w:rPr>
                <w:rFonts w:asciiTheme="minorHAnsi" w:eastAsia="Times New Roman" w:hAnsiTheme="minorHAnsi"/>
              </w:rPr>
              <w:br/>
              <w:t>recertification and Owner</w:t>
            </w:r>
            <w:r w:rsidRPr="00B443FB">
              <w:rPr>
                <w:rFonts w:asciiTheme="minorHAnsi" w:eastAsia="Times New Roman" w:hAnsiTheme="minorHAnsi"/>
              </w:rPr>
              <w:br/>
            </w:r>
            <w:r w:rsidRPr="00B443FB">
              <w:rPr>
                <w:rFonts w:asciiTheme="minorHAnsi" w:eastAsia="Times New Roman" w:hAnsiTheme="minorHAnsi"/>
              </w:rPr>
              <w:lastRenderedPageBreak/>
              <w:t>failed to properly  determine rent</w:t>
            </w:r>
          </w:p>
        </w:tc>
        <w:tc>
          <w:tcPr>
            <w:tcW w:w="1098" w:type="pct"/>
            <w:tcBorders>
              <w:top w:val="outset" w:sz="6" w:space="0" w:color="000000"/>
              <w:left w:val="outset" w:sz="6" w:space="0" w:color="000000"/>
              <w:bottom w:val="outset" w:sz="6" w:space="0" w:color="000000"/>
              <w:right w:val="outset" w:sz="6" w:space="0" w:color="000000"/>
            </w:tcBorders>
            <w:hideMark/>
          </w:tcPr>
          <w:p w14:paraId="1BF4A7A2" w14:textId="6866529C"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lastRenderedPageBreak/>
              <w:t>Up to $500 per violation</w:t>
            </w:r>
          </w:p>
        </w:tc>
        <w:tc>
          <w:tcPr>
            <w:tcW w:w="2333" w:type="pct"/>
            <w:tcBorders>
              <w:top w:val="outset" w:sz="6" w:space="0" w:color="000000"/>
              <w:left w:val="outset" w:sz="6" w:space="0" w:color="000000"/>
              <w:bottom w:val="outset" w:sz="6" w:space="0" w:color="000000"/>
              <w:right w:val="outset" w:sz="6" w:space="0" w:color="000000"/>
            </w:tcBorders>
            <w:hideMark/>
          </w:tcPr>
          <w:p w14:paraId="13CFA688" w14:textId="098F1E36"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$1,000 per violation</w:t>
            </w:r>
          </w:p>
        </w:tc>
      </w:tr>
      <w:tr w:rsidR="00472FFB" w:rsidRPr="00B443FB" w14:paraId="5E60288E"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16717661" w14:textId="16F6985B"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 xml:space="preserve">For tenant-based rental programs, gross rent </w:t>
            </w:r>
            <w:r w:rsidRPr="00B443FB">
              <w:rPr>
                <w:rFonts w:asciiTheme="minorHAnsi" w:eastAsia="Times New Roman" w:hAnsiTheme="minorHAnsi"/>
              </w:rPr>
              <w:br/>
              <w:t>exceeds the highest rent by program rule, policy or</w:t>
            </w:r>
            <w:r w:rsidRPr="00B443FB">
              <w:rPr>
                <w:rFonts w:asciiTheme="minorHAnsi" w:eastAsia="Times New Roman" w:hAnsiTheme="minorHAnsi"/>
              </w:rPr>
              <w:br/>
              <w:t>agreement</w:t>
            </w:r>
          </w:p>
        </w:tc>
        <w:tc>
          <w:tcPr>
            <w:tcW w:w="1098" w:type="pct"/>
            <w:tcBorders>
              <w:top w:val="outset" w:sz="6" w:space="0" w:color="000000"/>
              <w:left w:val="outset" w:sz="6" w:space="0" w:color="000000"/>
              <w:bottom w:val="outset" w:sz="6" w:space="0" w:color="000000"/>
              <w:right w:val="outset" w:sz="6" w:space="0" w:color="000000"/>
            </w:tcBorders>
            <w:hideMark/>
          </w:tcPr>
          <w:p w14:paraId="19D715EC" w14:textId="5B7CA1BB"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$50 per unit per</w:t>
            </w:r>
            <w:r w:rsidRPr="00B443FB">
              <w:rPr>
                <w:rFonts w:asciiTheme="minorHAnsi" w:eastAsia="Times New Roman" w:hAnsiTheme="minorHAnsi"/>
              </w:rPr>
              <w:br/>
              <w:t>day</w:t>
            </w:r>
          </w:p>
        </w:tc>
        <w:tc>
          <w:tcPr>
            <w:tcW w:w="2333" w:type="pct"/>
            <w:tcBorders>
              <w:top w:val="outset" w:sz="6" w:space="0" w:color="000000"/>
              <w:left w:val="outset" w:sz="6" w:space="0" w:color="000000"/>
              <w:bottom w:val="outset" w:sz="6" w:space="0" w:color="000000"/>
              <w:right w:val="outset" w:sz="6" w:space="0" w:color="000000"/>
            </w:tcBorders>
            <w:hideMark/>
          </w:tcPr>
          <w:p w14:paraId="6B70B86D" w14:textId="044A41C6"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$150 per unit per day</w:t>
            </w:r>
          </w:p>
        </w:tc>
      </w:tr>
      <w:tr w:rsidR="00472FFB" w:rsidRPr="00B443FB" w14:paraId="6AB89A82"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2A00AC46" w14:textId="725539EB"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Failure to return or repay funds to the Department</w:t>
            </w:r>
            <w:r w:rsidRPr="00B443FB">
              <w:rPr>
                <w:rFonts w:asciiTheme="minorHAnsi" w:eastAsia="Times New Roman" w:hAnsiTheme="minorHAnsi"/>
              </w:rPr>
              <w:br/>
              <w:t>as required by rule, policy</w:t>
            </w:r>
            <w:r w:rsidRPr="00B443FB">
              <w:rPr>
                <w:rFonts w:asciiTheme="minorHAnsi" w:eastAsia="Times New Roman" w:hAnsiTheme="minorHAnsi"/>
              </w:rPr>
              <w:br/>
              <w:t xml:space="preserve">or agreements (such as contract termination, </w:t>
            </w:r>
            <w:r w:rsidRPr="00B443FB">
              <w:rPr>
                <w:rFonts w:asciiTheme="minorHAnsi" w:eastAsia="Times New Roman" w:hAnsiTheme="minorHAnsi"/>
              </w:rPr>
              <w:br/>
              <w:t>assessed penalties,</w:t>
            </w:r>
            <w:r w:rsidRPr="00B443FB">
              <w:rPr>
                <w:rFonts w:asciiTheme="minorHAnsi" w:eastAsia="Times New Roman" w:hAnsiTheme="minorHAnsi"/>
              </w:rPr>
              <w:br/>
              <w:t>disallowed costs, overpayment,</w:t>
            </w:r>
            <w:r w:rsidRPr="00B443FB">
              <w:rPr>
                <w:rFonts w:asciiTheme="minorHAnsi" w:eastAsia="Times New Roman" w:hAnsiTheme="minorHAnsi"/>
              </w:rPr>
              <w:br/>
            </w:r>
            <w:proofErr w:type="spellStart"/>
            <w:r w:rsidRPr="00B443FB">
              <w:rPr>
                <w:rFonts w:asciiTheme="minorHAnsi" w:eastAsia="Times New Roman" w:hAnsiTheme="minorHAnsi"/>
              </w:rPr>
              <w:t>Deobligation</w:t>
            </w:r>
            <w:proofErr w:type="spellEnd"/>
            <w:r w:rsidRPr="00B443FB">
              <w:rPr>
                <w:rFonts w:asciiTheme="minorHAnsi" w:eastAsia="Times New Roman" w:hAnsiTheme="minorHAnsi"/>
              </w:rPr>
              <w:t>, or recapture)</w:t>
            </w:r>
          </w:p>
        </w:tc>
        <w:tc>
          <w:tcPr>
            <w:tcW w:w="1098" w:type="pct"/>
            <w:tcBorders>
              <w:top w:val="outset" w:sz="6" w:space="0" w:color="000000"/>
              <w:left w:val="outset" w:sz="6" w:space="0" w:color="000000"/>
              <w:bottom w:val="outset" w:sz="6" w:space="0" w:color="000000"/>
              <w:right w:val="outset" w:sz="6" w:space="0" w:color="000000"/>
            </w:tcBorders>
            <w:hideMark/>
          </w:tcPr>
          <w:p w14:paraId="76DDC75A" w14:textId="5720BF91"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$50 per day</w:t>
            </w:r>
          </w:p>
        </w:tc>
        <w:tc>
          <w:tcPr>
            <w:tcW w:w="2333" w:type="pct"/>
            <w:tcBorders>
              <w:top w:val="outset" w:sz="6" w:space="0" w:color="000000"/>
              <w:left w:val="outset" w:sz="6" w:space="0" w:color="000000"/>
              <w:bottom w:val="outset" w:sz="6" w:space="0" w:color="000000"/>
              <w:right w:val="outset" w:sz="6" w:space="0" w:color="000000"/>
            </w:tcBorders>
            <w:hideMark/>
          </w:tcPr>
          <w:p w14:paraId="3535C44D" w14:textId="31B459DB"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$150 per day</w:t>
            </w:r>
          </w:p>
        </w:tc>
      </w:tr>
      <w:tr w:rsidR="00472FFB" w:rsidRPr="00B443FB" w14:paraId="56BB38CB"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470C5394" w14:textId="53F70B26"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Failure to meet  accessibility requirements</w:t>
            </w:r>
            <w:r w:rsidRPr="00B443FB">
              <w:rPr>
                <w:rFonts w:asciiTheme="minorHAnsi" w:eastAsia="Times New Roman" w:hAnsiTheme="minorHAnsi"/>
              </w:rPr>
              <w:br/>
            </w:r>
          </w:p>
        </w:tc>
        <w:tc>
          <w:tcPr>
            <w:tcW w:w="1098" w:type="pct"/>
            <w:tcBorders>
              <w:top w:val="outset" w:sz="6" w:space="0" w:color="000000"/>
              <w:left w:val="outset" w:sz="6" w:space="0" w:color="000000"/>
              <w:bottom w:val="outset" w:sz="6" w:space="0" w:color="000000"/>
              <w:right w:val="outset" w:sz="6" w:space="0" w:color="000000"/>
            </w:tcBorders>
            <w:hideMark/>
          </w:tcPr>
          <w:p w14:paraId="3EEF3340" w14:textId="3A3E03B6"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$1,000 per</w:t>
            </w:r>
            <w:r w:rsidRPr="00B443FB">
              <w:rPr>
                <w:rFonts w:asciiTheme="minorHAnsi" w:eastAsia="Times New Roman" w:hAnsiTheme="minorHAnsi"/>
              </w:rPr>
              <w:br/>
              <w:t>violation</w:t>
            </w:r>
          </w:p>
        </w:tc>
        <w:tc>
          <w:tcPr>
            <w:tcW w:w="2333" w:type="pct"/>
            <w:tcBorders>
              <w:top w:val="outset" w:sz="6" w:space="0" w:color="000000"/>
              <w:left w:val="outset" w:sz="6" w:space="0" w:color="000000"/>
              <w:bottom w:val="outset" w:sz="6" w:space="0" w:color="000000"/>
              <w:right w:val="outset" w:sz="6" w:space="0" w:color="000000"/>
            </w:tcBorders>
            <w:hideMark/>
          </w:tcPr>
          <w:p w14:paraId="798DF9F6" w14:textId="2E545A85"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$1,000 per violation</w:t>
            </w:r>
          </w:p>
        </w:tc>
      </w:tr>
      <w:tr w:rsidR="00472FFB" w:rsidRPr="00B443FB" w14:paraId="33E65F2A"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677EA946" w14:textId="1FB72973"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Noncompliance with applicable OMB or state</w:t>
            </w:r>
            <w:r w:rsidRPr="00B443FB">
              <w:rPr>
                <w:rFonts w:asciiTheme="minorHAnsi" w:eastAsia="Times New Roman" w:hAnsiTheme="minorHAnsi"/>
              </w:rPr>
              <w:br/>
              <w:t>financial management</w:t>
            </w:r>
            <w:r w:rsidRPr="00B443FB">
              <w:rPr>
                <w:rFonts w:asciiTheme="minorHAnsi" w:eastAsia="Times New Roman" w:hAnsiTheme="minorHAnsi"/>
              </w:rPr>
              <w:br/>
              <w:t>requirements</w:t>
            </w:r>
          </w:p>
        </w:tc>
        <w:tc>
          <w:tcPr>
            <w:tcW w:w="1098" w:type="pct"/>
            <w:tcBorders>
              <w:top w:val="outset" w:sz="6" w:space="0" w:color="000000"/>
              <w:left w:val="outset" w:sz="6" w:space="0" w:color="000000"/>
              <w:bottom w:val="outset" w:sz="6" w:space="0" w:color="000000"/>
              <w:right w:val="outset" w:sz="6" w:space="0" w:color="000000"/>
            </w:tcBorders>
            <w:hideMark/>
          </w:tcPr>
          <w:p w14:paraId="0130C0FE" w14:textId="1D9012C5"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$500</w:t>
            </w:r>
          </w:p>
        </w:tc>
        <w:tc>
          <w:tcPr>
            <w:tcW w:w="2333" w:type="pct"/>
            <w:tcBorders>
              <w:top w:val="outset" w:sz="6" w:space="0" w:color="000000"/>
              <w:left w:val="outset" w:sz="6" w:space="0" w:color="000000"/>
              <w:bottom w:val="outset" w:sz="6" w:space="0" w:color="000000"/>
              <w:right w:val="outset" w:sz="6" w:space="0" w:color="000000"/>
            </w:tcBorders>
            <w:hideMark/>
          </w:tcPr>
          <w:p w14:paraId="46688C97" w14:textId="427969AE"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$1,000</w:t>
            </w:r>
          </w:p>
        </w:tc>
      </w:tr>
      <w:tr w:rsidR="00472FFB" w:rsidRPr="00B443FB" w14:paraId="711DB3E3"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6BC03CCE" w14:textId="77777777"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Failure to timely submit Audit Certification Form</w:t>
            </w:r>
          </w:p>
          <w:p w14:paraId="27DD9930" w14:textId="46D81C3D" w:rsidR="00472FFB" w:rsidRPr="00B443FB" w:rsidRDefault="00472FFB" w:rsidP="00CB5F10">
            <w:pPr>
              <w:spacing w:line="240" w:lineRule="auto"/>
              <w:rPr>
                <w:rFonts w:asciiTheme="minorHAnsi" w:eastAsia="Times New Roman" w:hAnsiTheme="minorHAnsi"/>
              </w:rPr>
            </w:pPr>
          </w:p>
        </w:tc>
        <w:tc>
          <w:tcPr>
            <w:tcW w:w="1098" w:type="pct"/>
            <w:tcBorders>
              <w:top w:val="outset" w:sz="6" w:space="0" w:color="000000"/>
              <w:left w:val="outset" w:sz="6" w:space="0" w:color="000000"/>
              <w:bottom w:val="outset" w:sz="6" w:space="0" w:color="000000"/>
              <w:right w:val="outset" w:sz="6" w:space="0" w:color="000000"/>
            </w:tcBorders>
            <w:hideMark/>
          </w:tcPr>
          <w:p w14:paraId="7B4A927D" w14:textId="43C15981"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$250</w:t>
            </w:r>
          </w:p>
        </w:tc>
        <w:tc>
          <w:tcPr>
            <w:tcW w:w="2333" w:type="pct"/>
            <w:tcBorders>
              <w:top w:val="outset" w:sz="6" w:space="0" w:color="000000"/>
              <w:left w:val="outset" w:sz="6" w:space="0" w:color="000000"/>
              <w:bottom w:val="outset" w:sz="6" w:space="0" w:color="000000"/>
              <w:right w:val="outset" w:sz="6" w:space="0" w:color="000000"/>
            </w:tcBorders>
            <w:hideMark/>
          </w:tcPr>
          <w:p w14:paraId="76E2AD42" w14:textId="17162C36"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$1,000 per violation</w:t>
            </w:r>
          </w:p>
        </w:tc>
      </w:tr>
      <w:tr w:rsidR="00472FFB" w:rsidRPr="00B443FB" w14:paraId="3923AB97"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48AAC0CC" w14:textId="77777777" w:rsidR="00472FFB" w:rsidRPr="005932B0" w:rsidRDefault="00472FFB" w:rsidP="005932B0">
            <w:pPr>
              <w:spacing w:line="240" w:lineRule="auto"/>
              <w:rPr>
                <w:rFonts w:asciiTheme="minorHAnsi" w:eastAsia="Times New Roman" w:hAnsiTheme="minorHAnsi"/>
              </w:rPr>
            </w:pPr>
            <w:r w:rsidRPr="005932B0">
              <w:rPr>
                <w:rFonts w:asciiTheme="minorHAnsi" w:eastAsia="Times New Roman" w:hAnsiTheme="minorHAnsi"/>
              </w:rPr>
              <w:t>Failure to timely submit</w:t>
            </w:r>
          </w:p>
          <w:p w14:paraId="1B8AEF7F" w14:textId="59B34041" w:rsidR="00472FFB" w:rsidRPr="00B443FB" w:rsidRDefault="00472FFB" w:rsidP="00CB5F10">
            <w:pPr>
              <w:spacing w:line="240" w:lineRule="auto"/>
              <w:rPr>
                <w:rFonts w:asciiTheme="minorHAnsi" w:eastAsia="Times New Roman" w:hAnsiTheme="minorHAnsi"/>
              </w:rPr>
            </w:pPr>
            <w:r w:rsidRPr="005932B0">
              <w:rPr>
                <w:rFonts w:asciiTheme="minorHAnsi" w:eastAsia="Times New Roman" w:hAnsiTheme="minorHAnsi"/>
              </w:rPr>
              <w:t>Single Audit</w:t>
            </w:r>
          </w:p>
        </w:tc>
        <w:tc>
          <w:tcPr>
            <w:tcW w:w="1098" w:type="pct"/>
            <w:tcBorders>
              <w:top w:val="outset" w:sz="6" w:space="0" w:color="000000"/>
              <w:left w:val="outset" w:sz="6" w:space="0" w:color="000000"/>
              <w:bottom w:val="outset" w:sz="6" w:space="0" w:color="000000"/>
              <w:right w:val="outset" w:sz="6" w:space="0" w:color="000000"/>
            </w:tcBorders>
            <w:hideMark/>
          </w:tcPr>
          <w:p w14:paraId="3C12A17F" w14:textId="50CB8E09" w:rsidR="00472FFB" w:rsidRPr="00B443FB" w:rsidRDefault="00472FFB" w:rsidP="00CB5F10">
            <w:pPr>
              <w:spacing w:line="240" w:lineRule="auto"/>
              <w:rPr>
                <w:rFonts w:asciiTheme="minorHAnsi" w:eastAsia="Times New Roman" w:hAnsiTheme="minorHAnsi"/>
              </w:rPr>
            </w:pPr>
            <w:r w:rsidRPr="005932B0">
              <w:rPr>
                <w:rFonts w:asciiTheme="minorHAnsi" w:eastAsia="Times New Roman" w:hAnsiTheme="minorHAnsi"/>
              </w:rPr>
              <w:t>Up to $1,000</w:t>
            </w:r>
          </w:p>
        </w:tc>
        <w:tc>
          <w:tcPr>
            <w:tcW w:w="2333" w:type="pct"/>
            <w:tcBorders>
              <w:top w:val="outset" w:sz="6" w:space="0" w:color="000000"/>
              <w:left w:val="outset" w:sz="6" w:space="0" w:color="000000"/>
              <w:bottom w:val="outset" w:sz="6" w:space="0" w:color="000000"/>
              <w:right w:val="outset" w:sz="6" w:space="0" w:color="000000"/>
            </w:tcBorders>
            <w:hideMark/>
          </w:tcPr>
          <w:p w14:paraId="366DF215" w14:textId="77777777" w:rsidR="00472FFB" w:rsidRPr="005932B0" w:rsidRDefault="00472FFB" w:rsidP="00CB5F10">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Up to $1,000 + up to</w:t>
            </w:r>
          </w:p>
          <w:p w14:paraId="32ECEC9E" w14:textId="77777777" w:rsidR="00472FFB" w:rsidRPr="005932B0" w:rsidRDefault="00472FFB" w:rsidP="00CB5F10">
            <w:pPr>
              <w:autoSpaceDE w:val="0"/>
              <w:autoSpaceDN w:val="0"/>
              <w:adjustRightInd w:val="0"/>
              <w:spacing w:line="240" w:lineRule="auto"/>
              <w:rPr>
                <w:rFonts w:asciiTheme="minorHAnsi" w:eastAsia="Times New Roman" w:hAnsiTheme="minorHAnsi"/>
              </w:rPr>
            </w:pPr>
            <w:r w:rsidRPr="005932B0">
              <w:rPr>
                <w:rFonts w:asciiTheme="minorHAnsi" w:eastAsia="Times New Roman" w:hAnsiTheme="minorHAnsi"/>
              </w:rPr>
              <w:t xml:space="preserve">$100 for each day </w:t>
            </w:r>
          </w:p>
          <w:p w14:paraId="31CA4E1E" w14:textId="463E2CD5" w:rsidR="00472FFB" w:rsidRPr="00B443FB" w:rsidRDefault="00472FFB" w:rsidP="00CB5F10">
            <w:pPr>
              <w:spacing w:line="240" w:lineRule="auto"/>
              <w:rPr>
                <w:rFonts w:asciiTheme="minorHAnsi" w:eastAsia="Times New Roman" w:hAnsiTheme="minorHAnsi"/>
              </w:rPr>
            </w:pPr>
            <w:r w:rsidRPr="005932B0">
              <w:rPr>
                <w:rFonts w:asciiTheme="minorHAnsi" w:eastAsia="Times New Roman" w:hAnsiTheme="minorHAnsi"/>
              </w:rPr>
              <w:t>not in compliance</w:t>
            </w:r>
          </w:p>
        </w:tc>
      </w:tr>
      <w:tr w:rsidR="00472FFB" w:rsidRPr="00B443FB" w14:paraId="7980AC80"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03A0B377" w14:textId="77777777" w:rsidR="00472FFB" w:rsidRPr="005932B0" w:rsidRDefault="00472FFB" w:rsidP="005932B0">
            <w:pPr>
              <w:spacing w:line="240" w:lineRule="auto"/>
              <w:rPr>
                <w:rFonts w:asciiTheme="minorHAnsi" w:eastAsia="Times New Roman" w:hAnsiTheme="minorHAnsi"/>
              </w:rPr>
            </w:pPr>
            <w:r w:rsidRPr="005932B0">
              <w:rPr>
                <w:rFonts w:asciiTheme="minorHAnsi" w:eastAsia="Times New Roman" w:hAnsiTheme="minorHAnsi"/>
              </w:rPr>
              <w:t>Failure to timely enter into an ISPA (Information</w:t>
            </w:r>
          </w:p>
          <w:p w14:paraId="4711872A" w14:textId="77777777" w:rsidR="00472FFB" w:rsidRPr="005932B0" w:rsidRDefault="00472FFB" w:rsidP="005932B0">
            <w:pPr>
              <w:spacing w:line="240" w:lineRule="auto"/>
              <w:rPr>
                <w:rFonts w:asciiTheme="minorHAnsi" w:eastAsia="Times New Roman" w:hAnsiTheme="minorHAnsi"/>
              </w:rPr>
            </w:pPr>
            <w:r w:rsidRPr="005932B0">
              <w:rPr>
                <w:rFonts w:asciiTheme="minorHAnsi" w:eastAsia="Times New Roman" w:hAnsiTheme="minorHAnsi"/>
              </w:rPr>
              <w:t>Privacy and Security</w:t>
            </w:r>
          </w:p>
          <w:p w14:paraId="287A9FC4" w14:textId="067B332C" w:rsidR="00472FFB" w:rsidRPr="00B443FB" w:rsidRDefault="00472FFB" w:rsidP="00CB5F10">
            <w:pPr>
              <w:spacing w:line="240" w:lineRule="auto"/>
              <w:rPr>
                <w:rFonts w:asciiTheme="minorHAnsi" w:eastAsia="Times New Roman" w:hAnsiTheme="minorHAnsi"/>
              </w:rPr>
            </w:pPr>
            <w:r w:rsidRPr="005932B0">
              <w:rPr>
                <w:rFonts w:asciiTheme="minorHAnsi" w:eastAsia="Times New Roman" w:hAnsiTheme="minorHAnsi"/>
              </w:rPr>
              <w:t>Agreement)</w:t>
            </w:r>
          </w:p>
        </w:tc>
        <w:tc>
          <w:tcPr>
            <w:tcW w:w="1098" w:type="pct"/>
            <w:tcBorders>
              <w:top w:val="outset" w:sz="6" w:space="0" w:color="000000"/>
              <w:left w:val="outset" w:sz="6" w:space="0" w:color="000000"/>
              <w:bottom w:val="outset" w:sz="6" w:space="0" w:color="000000"/>
              <w:right w:val="outset" w:sz="6" w:space="0" w:color="000000"/>
            </w:tcBorders>
            <w:hideMark/>
          </w:tcPr>
          <w:p w14:paraId="67FDBB05" w14:textId="77777777" w:rsidR="00472FFB" w:rsidRPr="005932B0" w:rsidRDefault="00472FFB" w:rsidP="005932B0">
            <w:pPr>
              <w:spacing w:line="240" w:lineRule="auto"/>
              <w:rPr>
                <w:rFonts w:asciiTheme="minorHAnsi" w:eastAsia="Times New Roman" w:hAnsiTheme="minorHAnsi"/>
              </w:rPr>
            </w:pPr>
            <w:r w:rsidRPr="005932B0">
              <w:rPr>
                <w:rFonts w:asciiTheme="minorHAnsi" w:eastAsia="Times New Roman" w:hAnsiTheme="minorHAnsi"/>
              </w:rPr>
              <w:t>Up to $1,000 per</w:t>
            </w:r>
          </w:p>
          <w:p w14:paraId="034FE8DD" w14:textId="0BFC8C68" w:rsidR="00472FFB" w:rsidRPr="00B443FB" w:rsidRDefault="00472FFB" w:rsidP="00CB5F10">
            <w:pPr>
              <w:spacing w:line="240" w:lineRule="auto"/>
              <w:rPr>
                <w:rFonts w:asciiTheme="minorHAnsi" w:eastAsia="Times New Roman" w:hAnsiTheme="minorHAnsi"/>
              </w:rPr>
            </w:pPr>
            <w:r w:rsidRPr="005932B0">
              <w:rPr>
                <w:rFonts w:asciiTheme="minorHAnsi" w:eastAsia="Times New Roman" w:hAnsiTheme="minorHAnsi"/>
              </w:rPr>
              <w:t>violation</w:t>
            </w:r>
          </w:p>
        </w:tc>
        <w:tc>
          <w:tcPr>
            <w:tcW w:w="2333" w:type="pct"/>
            <w:tcBorders>
              <w:top w:val="outset" w:sz="6" w:space="0" w:color="000000"/>
              <w:left w:val="outset" w:sz="6" w:space="0" w:color="000000"/>
              <w:bottom w:val="outset" w:sz="6" w:space="0" w:color="000000"/>
              <w:right w:val="outset" w:sz="6" w:space="0" w:color="000000"/>
            </w:tcBorders>
            <w:hideMark/>
          </w:tcPr>
          <w:p w14:paraId="77188F4F" w14:textId="77777777" w:rsidR="00472FFB" w:rsidRPr="005932B0" w:rsidRDefault="00472FFB" w:rsidP="005932B0">
            <w:pPr>
              <w:spacing w:line="240" w:lineRule="auto"/>
              <w:rPr>
                <w:rFonts w:asciiTheme="minorHAnsi" w:eastAsia="Times New Roman" w:hAnsiTheme="minorHAnsi"/>
              </w:rPr>
            </w:pPr>
            <w:r w:rsidRPr="005932B0">
              <w:rPr>
                <w:rFonts w:asciiTheme="minorHAnsi" w:eastAsia="Times New Roman" w:hAnsiTheme="minorHAnsi"/>
              </w:rPr>
              <w:t>Up to $1,000 per</w:t>
            </w:r>
          </w:p>
          <w:p w14:paraId="2BA524C7" w14:textId="043ED119" w:rsidR="00472FFB" w:rsidRPr="00B443FB" w:rsidRDefault="00472FFB" w:rsidP="00CB5F10">
            <w:pPr>
              <w:spacing w:line="240" w:lineRule="auto"/>
              <w:rPr>
                <w:rFonts w:asciiTheme="minorHAnsi" w:eastAsia="Times New Roman" w:hAnsiTheme="minorHAnsi"/>
              </w:rPr>
            </w:pPr>
            <w:r w:rsidRPr="005932B0">
              <w:rPr>
                <w:rFonts w:asciiTheme="minorHAnsi" w:eastAsia="Times New Roman" w:hAnsiTheme="minorHAnsi"/>
              </w:rPr>
              <w:t>Violation</w:t>
            </w:r>
          </w:p>
        </w:tc>
      </w:tr>
      <w:tr w:rsidR="00472FFB" w:rsidRPr="00B443FB" w14:paraId="7D4EA937" w14:textId="77777777" w:rsidTr="00472FFB">
        <w:trPr>
          <w:tblCellSpacing w:w="0" w:type="dxa"/>
        </w:trPr>
        <w:tc>
          <w:tcPr>
            <w:tcW w:w="1569" w:type="pct"/>
            <w:tcBorders>
              <w:top w:val="outset" w:sz="6" w:space="0" w:color="000000"/>
              <w:left w:val="outset" w:sz="6" w:space="0" w:color="000000"/>
              <w:bottom w:val="outset" w:sz="6" w:space="0" w:color="000000"/>
              <w:right w:val="outset" w:sz="6" w:space="0" w:color="000000"/>
            </w:tcBorders>
            <w:hideMark/>
          </w:tcPr>
          <w:p w14:paraId="74849A96" w14:textId="06F433A0" w:rsidR="00472FFB" w:rsidRPr="00B443FB" w:rsidRDefault="00472FFB" w:rsidP="005932B0">
            <w:pPr>
              <w:spacing w:line="240" w:lineRule="auto"/>
              <w:rPr>
                <w:rFonts w:asciiTheme="minorHAnsi" w:eastAsia="Times New Roman" w:hAnsiTheme="minorHAnsi"/>
              </w:rPr>
            </w:pPr>
            <w:r w:rsidRPr="005932B0">
              <w:rPr>
                <w:rFonts w:asciiTheme="minorHAnsi" w:eastAsia="Times New Roman" w:hAnsiTheme="minorHAnsi"/>
              </w:rPr>
              <w:t>Lack of insurance of fidelity bond coverage</w:t>
            </w:r>
          </w:p>
        </w:tc>
        <w:tc>
          <w:tcPr>
            <w:tcW w:w="1098" w:type="pct"/>
            <w:tcBorders>
              <w:top w:val="outset" w:sz="6" w:space="0" w:color="000000"/>
              <w:left w:val="outset" w:sz="6" w:space="0" w:color="000000"/>
              <w:bottom w:val="outset" w:sz="6" w:space="0" w:color="000000"/>
              <w:right w:val="outset" w:sz="6" w:space="0" w:color="000000"/>
            </w:tcBorders>
            <w:hideMark/>
          </w:tcPr>
          <w:p w14:paraId="1E2B5372" w14:textId="32D5E8A8"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 xml:space="preserve">Up to $1,000 + up to $100 a day for </w:t>
            </w:r>
            <w:r w:rsidRPr="00B443FB">
              <w:rPr>
                <w:rFonts w:asciiTheme="minorHAnsi" w:eastAsia="Times New Roman" w:hAnsiTheme="minorHAnsi"/>
              </w:rPr>
              <w:br/>
              <w:t xml:space="preserve">each day not in </w:t>
            </w:r>
            <w:r w:rsidRPr="00B443FB">
              <w:rPr>
                <w:rFonts w:asciiTheme="minorHAnsi" w:eastAsia="Times New Roman" w:hAnsiTheme="minorHAnsi"/>
              </w:rPr>
              <w:br/>
              <w:t>compliance</w:t>
            </w:r>
          </w:p>
        </w:tc>
        <w:tc>
          <w:tcPr>
            <w:tcW w:w="2333" w:type="pct"/>
            <w:tcBorders>
              <w:top w:val="outset" w:sz="6" w:space="0" w:color="000000"/>
              <w:left w:val="outset" w:sz="6" w:space="0" w:color="000000"/>
              <w:bottom w:val="outset" w:sz="6" w:space="0" w:color="000000"/>
              <w:right w:val="outset" w:sz="6" w:space="0" w:color="000000"/>
            </w:tcBorders>
            <w:hideMark/>
          </w:tcPr>
          <w:p w14:paraId="7F2D0611" w14:textId="09CA61F3" w:rsidR="00472FFB" w:rsidRPr="00B443FB" w:rsidRDefault="00472FFB" w:rsidP="00CB5F10">
            <w:pPr>
              <w:spacing w:line="240" w:lineRule="auto"/>
              <w:rPr>
                <w:rFonts w:asciiTheme="minorHAnsi" w:eastAsia="Times New Roman" w:hAnsiTheme="minorHAnsi"/>
              </w:rPr>
            </w:pPr>
            <w:r w:rsidRPr="00B443FB">
              <w:rPr>
                <w:rFonts w:asciiTheme="minorHAnsi" w:eastAsia="Times New Roman" w:hAnsiTheme="minorHAnsi"/>
              </w:rPr>
              <w:t>Up to $1,000 + up to $200 a day for each</w:t>
            </w:r>
            <w:r w:rsidRPr="00B443FB">
              <w:rPr>
                <w:rFonts w:asciiTheme="minorHAnsi" w:eastAsia="Times New Roman" w:hAnsiTheme="minorHAnsi"/>
              </w:rPr>
              <w:br/>
              <w:t>day not in</w:t>
            </w:r>
            <w:r w:rsidRPr="00B443FB">
              <w:rPr>
                <w:rFonts w:asciiTheme="minorHAnsi" w:eastAsia="Times New Roman" w:hAnsiTheme="minorHAnsi"/>
              </w:rPr>
              <w:br/>
              <w:t>compliance</w:t>
            </w:r>
          </w:p>
        </w:tc>
      </w:tr>
    </w:tbl>
    <w:p w14:paraId="3800D5CF" w14:textId="77777777" w:rsidR="00472FFB" w:rsidRDefault="00472FFB" w:rsidP="0027134A">
      <w:pPr>
        <w:spacing w:line="240" w:lineRule="auto"/>
        <w:ind w:left="2160" w:hanging="2160"/>
        <w:rPr>
          <w:rFonts w:asciiTheme="minorHAnsi" w:hAnsiTheme="minorHAnsi"/>
        </w:rPr>
      </w:pPr>
    </w:p>
    <w:p w14:paraId="79573561" w14:textId="77777777" w:rsidR="00472FFB" w:rsidRDefault="00472FFB" w:rsidP="0027134A">
      <w:pPr>
        <w:spacing w:line="240" w:lineRule="auto"/>
        <w:ind w:left="2160" w:hanging="2160"/>
        <w:rPr>
          <w:rFonts w:asciiTheme="minorHAnsi" w:hAnsiTheme="minorHAnsi"/>
        </w:rPr>
      </w:pPr>
    </w:p>
    <w:p w14:paraId="0AB7BB3D" w14:textId="77777777" w:rsidR="00472FFB" w:rsidRDefault="00472FFB" w:rsidP="0027134A">
      <w:pPr>
        <w:spacing w:line="240" w:lineRule="auto"/>
        <w:ind w:left="2160" w:hanging="2160"/>
        <w:rPr>
          <w:rFonts w:asciiTheme="minorHAnsi" w:hAnsiTheme="minorHAnsi"/>
        </w:rPr>
      </w:pPr>
    </w:p>
    <w:p w14:paraId="32F70FFC" w14:textId="58D3F190" w:rsidR="00472FFB" w:rsidRDefault="00472FFB" w:rsidP="0027134A">
      <w:pPr>
        <w:spacing w:line="240" w:lineRule="auto"/>
        <w:ind w:left="2160" w:hanging="2160"/>
        <w:rPr>
          <w:rFonts w:asciiTheme="minorHAnsi" w:hAnsiTheme="minorHAnsi"/>
        </w:rPr>
      </w:pPr>
    </w:p>
    <w:p w14:paraId="55E705CA" w14:textId="77777777" w:rsidR="00CB0376" w:rsidRDefault="00CB0376" w:rsidP="0027134A">
      <w:pPr>
        <w:spacing w:line="240" w:lineRule="auto"/>
        <w:ind w:left="2160" w:hanging="2160"/>
        <w:rPr>
          <w:rFonts w:asciiTheme="minorHAnsi" w:hAnsiTheme="minorHAnsi"/>
        </w:rPr>
      </w:pPr>
      <w:bookmarkStart w:id="0" w:name="_GoBack"/>
      <w:bookmarkEnd w:id="0"/>
    </w:p>
    <w:p w14:paraId="38268341" w14:textId="77777777" w:rsidR="00472FFB" w:rsidRDefault="00472FFB" w:rsidP="0027134A">
      <w:pPr>
        <w:spacing w:line="240" w:lineRule="auto"/>
        <w:ind w:left="2160" w:hanging="2160"/>
        <w:rPr>
          <w:rFonts w:asciiTheme="minorHAnsi" w:hAnsiTheme="minorHAnsi"/>
        </w:rPr>
      </w:pPr>
    </w:p>
    <w:p w14:paraId="37AD90EE" w14:textId="2A7DD379" w:rsidR="005163E4" w:rsidRPr="00B443FB" w:rsidRDefault="005163E4" w:rsidP="0027134A">
      <w:pPr>
        <w:spacing w:line="240" w:lineRule="auto"/>
        <w:ind w:left="2160" w:hanging="2160"/>
        <w:rPr>
          <w:rFonts w:asciiTheme="minorHAnsi" w:hAnsiTheme="minorHAnsi"/>
        </w:rPr>
      </w:pPr>
      <w:r w:rsidRPr="00B443FB">
        <w:rPr>
          <w:rFonts w:asciiTheme="minorHAnsi" w:hAnsiTheme="minorHAnsi"/>
        </w:rPr>
        <w:lastRenderedPageBreak/>
        <w:t xml:space="preserve">SUBCHAPTER D </w:t>
      </w:r>
      <w:r w:rsidRPr="00B443FB">
        <w:rPr>
          <w:rFonts w:asciiTheme="minorHAnsi" w:hAnsiTheme="minorHAnsi"/>
        </w:rPr>
        <w:tab/>
        <w:t xml:space="preserve">DEBARMENT FROM PARTICIPATION IN PROGRAMS ADMINISTERED BY THE DEPARTMENT </w:t>
      </w:r>
    </w:p>
    <w:p w14:paraId="189DCBE9" w14:textId="3F34ADA4" w:rsidR="005163E4" w:rsidRPr="00B443FB" w:rsidRDefault="005163E4" w:rsidP="0027134A">
      <w:pPr>
        <w:spacing w:line="240" w:lineRule="auto"/>
        <w:rPr>
          <w:rFonts w:asciiTheme="minorHAnsi" w:hAnsiTheme="minorHAnsi"/>
        </w:rPr>
      </w:pPr>
      <w:r w:rsidRPr="00B443FB">
        <w:rPr>
          <w:rFonts w:asciiTheme="minorHAnsi" w:hAnsiTheme="minorHAnsi"/>
        </w:rPr>
        <w:t>General</w:t>
      </w:r>
    </w:p>
    <w:p w14:paraId="78A46E20" w14:textId="77777777" w:rsidR="005163E4" w:rsidRPr="00B443FB" w:rsidRDefault="005163E4" w:rsidP="0027134A">
      <w:pPr>
        <w:spacing w:line="240" w:lineRule="auto"/>
        <w:rPr>
          <w:rFonts w:asciiTheme="minorHAnsi" w:hAnsiTheme="minorHAnsi"/>
        </w:rPr>
      </w:pPr>
    </w:p>
    <w:p w14:paraId="5721C293" w14:textId="00758A89"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(a) The Department may debar a Responsible Party, a Consultant and/or a Vendor who has exhibited past failure to comply with any condition imposed by the Department in the administration of its programs. A Responsible Party, Consultant or </w:t>
      </w:r>
      <w:r w:rsidR="00472FFB" w:rsidRPr="00B443FB">
        <w:rPr>
          <w:rFonts w:asciiTheme="minorHAnsi" w:hAnsiTheme="minorHAnsi"/>
        </w:rPr>
        <w:t>Vendor may</w:t>
      </w:r>
      <w:r w:rsidRPr="00B443FB">
        <w:rPr>
          <w:rFonts w:asciiTheme="minorHAnsi" w:hAnsiTheme="minorHAnsi"/>
        </w:rPr>
        <w:t xml:space="preserve"> be referred to the Committee for Debarment for any of the following: </w:t>
      </w:r>
    </w:p>
    <w:p w14:paraId="3B5E431B" w14:textId="06F55223"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(1) Refusing to provide an acceptable plan to implement and adhere to procedures to ensure compliant operation of the program after being placed on Modified Cost Reimbursement; </w:t>
      </w:r>
    </w:p>
    <w:p w14:paraId="2A4130A9" w14:textId="0C5CAA5C" w:rsidR="005163E4" w:rsidRPr="00B443FB" w:rsidRDefault="005163E4" w:rsidP="0027134A">
      <w:pPr>
        <w:spacing w:line="240" w:lineRule="auto"/>
        <w:jc w:val="both"/>
        <w:rPr>
          <w:rFonts w:asciiTheme="minorHAnsi" w:hAnsiTheme="minorHAnsi"/>
        </w:rPr>
      </w:pPr>
      <w:r w:rsidRPr="00B443FB">
        <w:rPr>
          <w:rFonts w:asciiTheme="minorHAnsi" w:hAnsiTheme="minorHAnsi"/>
        </w:rPr>
        <w:t>(2) Refusing to repay disallowed costs;</w:t>
      </w:r>
    </w:p>
    <w:p w14:paraId="21F492AC"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(3) Refusing to enter into a plan to repay disallowed costs or egregious violations of an agreed repayment plan;</w:t>
      </w:r>
    </w:p>
    <w:p w14:paraId="3EAB8AB4" w14:textId="3E6E6D61" w:rsidR="005163E4" w:rsidRPr="00B443FB" w:rsidRDefault="005163E4" w:rsidP="0027134A">
      <w:pPr>
        <w:spacing w:line="240" w:lineRule="auto"/>
        <w:jc w:val="both"/>
        <w:rPr>
          <w:rFonts w:asciiTheme="minorHAnsi" w:hAnsiTheme="minorHAnsi"/>
        </w:rPr>
      </w:pPr>
      <w:r w:rsidRPr="00B443FB">
        <w:rPr>
          <w:rFonts w:asciiTheme="minorHAnsi" w:hAnsiTheme="minorHAnsi"/>
        </w:rPr>
        <w:t>(4) Meeting any of the ineligibility criteria referenced in §11.202 of this title (relating to Ineligible Applicants)</w:t>
      </w:r>
      <w:r w:rsidR="001200C3">
        <w:rPr>
          <w:rFonts w:asciiTheme="minorHAnsi" w:hAnsiTheme="minorHAnsi"/>
        </w:rPr>
        <w:t xml:space="preserve"> or other ineligibility criteria outlined in a Program Rule</w:t>
      </w:r>
      <w:r w:rsidRPr="00B443FB">
        <w:rPr>
          <w:rFonts w:asciiTheme="minorHAnsi" w:hAnsiTheme="minorHAnsi"/>
        </w:rPr>
        <w:t>, with the exception of: ineligibility related to conflicts of interest</w:t>
      </w:r>
      <w:r w:rsidR="001200C3">
        <w:rPr>
          <w:rFonts w:asciiTheme="minorHAnsi" w:hAnsiTheme="minorHAnsi"/>
        </w:rPr>
        <w:t xml:space="preserve"> disclosed to the Department for review</w:t>
      </w:r>
      <w:r w:rsidRPr="00B443FB">
        <w:rPr>
          <w:rFonts w:asciiTheme="minorHAnsi" w:hAnsiTheme="minorHAnsi"/>
        </w:rPr>
        <w:t xml:space="preserve">, and ineligibility identified in a previous participation review </w:t>
      </w:r>
      <w:r w:rsidR="001200C3">
        <w:rPr>
          <w:rFonts w:asciiTheme="minorHAnsi" w:hAnsiTheme="minorHAnsi"/>
        </w:rPr>
        <w:t>in conjunction with an application for funds or resources</w:t>
      </w:r>
      <w:r w:rsidR="00E70113">
        <w:rPr>
          <w:rFonts w:asciiTheme="minorHAnsi" w:hAnsiTheme="minorHAnsi"/>
        </w:rPr>
        <w:t xml:space="preserve"> </w:t>
      </w:r>
      <w:r w:rsidR="001200C3" w:rsidRPr="001200C3">
        <w:rPr>
          <w:rFonts w:asciiTheme="minorHAnsi" w:hAnsiTheme="minorHAnsi"/>
        </w:rPr>
        <w:t>(unless otherwise eligible for Debarment under this Subchapter D</w:t>
      </w:r>
      <w:r w:rsidR="00472FFB" w:rsidRPr="001200C3">
        <w:rPr>
          <w:rFonts w:asciiTheme="minorHAnsi" w:hAnsiTheme="minorHAnsi"/>
        </w:rPr>
        <w:t>);</w:t>
      </w:r>
      <w:r w:rsidRPr="00B443FB">
        <w:rPr>
          <w:rFonts w:asciiTheme="minorHAnsi" w:hAnsiTheme="minorHAnsi"/>
        </w:rPr>
        <w:t xml:space="preserve"> </w:t>
      </w:r>
    </w:p>
    <w:p w14:paraId="55F4FA66" w14:textId="4AF68EAD" w:rsidR="005163E4" w:rsidRPr="00B443FB" w:rsidRDefault="005163E4" w:rsidP="0027134A">
      <w:pPr>
        <w:spacing w:line="240" w:lineRule="auto"/>
        <w:jc w:val="both"/>
        <w:rPr>
          <w:rFonts w:asciiTheme="minorHAnsi" w:hAnsiTheme="minorHAnsi"/>
        </w:rPr>
      </w:pPr>
      <w:r w:rsidRPr="00B443FB">
        <w:rPr>
          <w:rFonts w:asciiTheme="minorHAnsi" w:hAnsiTheme="minorHAnsi"/>
        </w:rPr>
        <w:t>(5) Providing fraudulent information, knowingly falsified documentation, or other intentional or negligent material misrepresentation or omission with regard to any documentation, certification or other representation made to the Department;</w:t>
      </w:r>
    </w:p>
    <w:p w14:paraId="3237012F"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(6) Failing to correct Events of Noncompliance as required by an order that became effective after the effective date of this rule, and/or failing to pay an administrative penalty as required by such order, within six months of a demand being issued by the Department. In this circumstance, if the Debarment process is initiated but the Responsible Party fully corrects the findings of noncompliance to the satisfaction of the referring division and pays the administrative penalty as required by the order before the Debarment is finalized by the Board, the Debarment recommendation may be cancelled or withdrawn by Committee recommendation and Executive Director concurrence. This type of referral would be initiated by the Secretary;</w:t>
      </w:r>
    </w:p>
    <w:p w14:paraId="033531A8"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(7) Controlling a multifamily Development that was foreclosed after the effective date of this rule, where the foreclosure or deed in lieu of foreclosure terminates a subordinate TDHCA LURA;</w:t>
      </w:r>
    </w:p>
    <w:p w14:paraId="2ABEBBBF" w14:textId="70CB2F97"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(8) </w:t>
      </w:r>
      <w:r w:rsidR="00CB5F10">
        <w:rPr>
          <w:rFonts w:asciiTheme="minorHAnsi" w:hAnsiTheme="minorHAnsi"/>
        </w:rPr>
        <w:t xml:space="preserve">Controlling a multifamily Development and allowing </w:t>
      </w:r>
      <w:r w:rsidRPr="00B443FB">
        <w:rPr>
          <w:rFonts w:asciiTheme="minorHAnsi" w:hAnsiTheme="minorHAnsi"/>
        </w:rPr>
        <w:t>a change in ownership after the effective date of this rule, without Department approval;</w:t>
      </w:r>
    </w:p>
    <w:p w14:paraId="72354D53"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(9) Transferring a Development, after the effective date of this rule, without regard for a Right of First Refusal requirement;</w:t>
      </w:r>
    </w:p>
    <w:p w14:paraId="01E4702D" w14:textId="26085119" w:rsidR="005163E4" w:rsidRPr="00B443FB" w:rsidRDefault="005163E4" w:rsidP="0027134A">
      <w:pPr>
        <w:spacing w:line="240" w:lineRule="auto"/>
        <w:jc w:val="both"/>
        <w:rPr>
          <w:rFonts w:asciiTheme="minorHAnsi" w:hAnsiTheme="minorHAnsi"/>
        </w:rPr>
      </w:pPr>
      <w:r w:rsidRPr="00B443FB">
        <w:rPr>
          <w:rFonts w:asciiTheme="minorHAnsi" w:hAnsiTheme="minorHAnsi"/>
        </w:rPr>
        <w:t>(10) Being involuntary removed, or replaced due to a default by the General Partner under the Limited Partnership Agreement, after the effective date of this rule</w:t>
      </w:r>
      <w:r w:rsidR="00B443FB">
        <w:rPr>
          <w:rFonts w:asciiTheme="minorHAnsi" w:hAnsiTheme="minorHAnsi"/>
        </w:rPr>
        <w:t>;</w:t>
      </w:r>
    </w:p>
    <w:p w14:paraId="33B02E1D"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(11) Refusing to comply with conditions approved by the Board that were recommended by the Executive Award Review Advisory Committee after the effective date of this rule;</w:t>
      </w:r>
    </w:p>
    <w:p w14:paraId="08E5D81F" w14:textId="7CFB7BA5" w:rsidR="005163E4" w:rsidRPr="00B443FB" w:rsidRDefault="005163E4" w:rsidP="0027134A">
      <w:pPr>
        <w:spacing w:line="240" w:lineRule="auto"/>
        <w:jc w:val="both"/>
        <w:rPr>
          <w:rFonts w:asciiTheme="minorHAnsi" w:hAnsiTheme="minorHAnsi"/>
        </w:rPr>
      </w:pPr>
      <w:r w:rsidRPr="00B443FB">
        <w:rPr>
          <w:rFonts w:asciiTheme="minorHAnsi" w:hAnsiTheme="minorHAnsi"/>
        </w:rPr>
        <w:t>(12) Having any Event of Noncompliance that occur after the effective date of this rule that causes the Department to be required to repay federal funds to any federal agency including</w:t>
      </w:r>
      <w:r w:rsidR="00782BDB">
        <w:rPr>
          <w:rFonts w:asciiTheme="minorHAnsi" w:hAnsiTheme="minorHAnsi"/>
        </w:rPr>
        <w:t>,</w:t>
      </w:r>
      <w:r w:rsidR="000A1B2F">
        <w:rPr>
          <w:rFonts w:asciiTheme="minorHAnsi" w:hAnsiTheme="minorHAnsi"/>
        </w:rPr>
        <w:t xml:space="preserve"> but not limited to</w:t>
      </w:r>
      <w:r w:rsidRPr="00B443FB">
        <w:rPr>
          <w:rFonts w:asciiTheme="minorHAnsi" w:hAnsiTheme="minorHAnsi"/>
        </w:rPr>
        <w:t xml:space="preserve"> the U.S. Department of Housing and Urban Development; and/or</w:t>
      </w:r>
    </w:p>
    <w:p w14:paraId="74A0CF9C" w14:textId="23A1D8BF"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(13) Submitting a written certification that non-compliance has been corrected when it is determined that the Event of Noncompliance was not corrected. For certain </w:t>
      </w:r>
      <w:r w:rsidR="000A1B2F">
        <w:rPr>
          <w:rFonts w:asciiTheme="minorHAnsi" w:hAnsiTheme="minorHAnsi"/>
        </w:rPr>
        <w:t>E</w:t>
      </w:r>
      <w:r w:rsidRPr="00B443FB">
        <w:rPr>
          <w:rFonts w:asciiTheme="minorHAnsi" w:hAnsiTheme="minorHAnsi"/>
        </w:rPr>
        <w:t xml:space="preserve">vents of </w:t>
      </w:r>
      <w:r w:rsidR="000A1B2F">
        <w:rPr>
          <w:rFonts w:asciiTheme="minorHAnsi" w:hAnsiTheme="minorHAnsi"/>
        </w:rPr>
        <w:t>N</w:t>
      </w:r>
      <w:r w:rsidRPr="00B443FB">
        <w:rPr>
          <w:rFonts w:asciiTheme="minorHAnsi" w:hAnsiTheme="minorHAnsi"/>
        </w:rPr>
        <w:t xml:space="preserve">oncompliance, in lieu of documentation, the Compliance Division accepts a written certification that noncompliance has been corrected. If it is determined that the Event of Noncompliance was not corrected, </w:t>
      </w:r>
      <w:r w:rsidR="000A1B2F">
        <w:rPr>
          <w:rFonts w:asciiTheme="minorHAnsi" w:hAnsiTheme="minorHAnsi"/>
        </w:rPr>
        <w:t>a</w:t>
      </w:r>
      <w:r w:rsidRPr="00B443FB">
        <w:rPr>
          <w:rFonts w:asciiTheme="minorHAnsi" w:hAnsiTheme="minorHAnsi"/>
        </w:rPr>
        <w:t xml:space="preserve"> Person who signed the certification may be recommended for debarment;</w:t>
      </w:r>
    </w:p>
    <w:p w14:paraId="58499645"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lastRenderedPageBreak/>
        <w:t>(14) Refusing to provide an amenity required by the LURA after the effective date of this rule;</w:t>
      </w:r>
    </w:p>
    <w:p w14:paraId="1A16C5FC" w14:textId="1304CFF6" w:rsidR="005163E4" w:rsidRPr="00B443FB" w:rsidRDefault="005163E4" w:rsidP="0027134A">
      <w:pPr>
        <w:spacing w:line="240" w:lineRule="auto"/>
        <w:jc w:val="both"/>
        <w:rPr>
          <w:rFonts w:asciiTheme="minorHAnsi" w:hAnsiTheme="minorHAnsi"/>
        </w:rPr>
      </w:pPr>
      <w:r w:rsidRPr="00B443FB">
        <w:rPr>
          <w:rFonts w:asciiTheme="minorHAnsi" w:hAnsiTheme="minorHAnsi"/>
        </w:rPr>
        <w:t>(15) Failing to reserve units for Section 811</w:t>
      </w:r>
      <w:r w:rsidR="000A1B2F">
        <w:rPr>
          <w:rFonts w:asciiTheme="minorHAnsi" w:hAnsiTheme="minorHAnsi"/>
        </w:rPr>
        <w:t xml:space="preserve"> PRA</w:t>
      </w:r>
      <w:r w:rsidRPr="00B443FB">
        <w:rPr>
          <w:rFonts w:asciiTheme="minorHAnsi" w:hAnsiTheme="minorHAnsi"/>
        </w:rPr>
        <w:t xml:space="preserve"> participants after the effective date of this rule; </w:t>
      </w:r>
    </w:p>
    <w:p w14:paraId="76B6241E" w14:textId="655C82B6" w:rsidR="005163E4" w:rsidRPr="00B443FB" w:rsidRDefault="005163E4" w:rsidP="0027134A">
      <w:pPr>
        <w:spacing w:line="240" w:lineRule="auto"/>
        <w:jc w:val="both"/>
        <w:rPr>
          <w:rFonts w:asciiTheme="minorHAnsi" w:hAnsiTheme="minorHAnsi"/>
        </w:rPr>
      </w:pPr>
      <w:r w:rsidRPr="00B443FB">
        <w:rPr>
          <w:rFonts w:asciiTheme="minorHAnsi" w:hAnsiTheme="minorHAnsi"/>
        </w:rPr>
        <w:t>(16) Failing to notify the Department of the availability of 811</w:t>
      </w:r>
      <w:r w:rsidR="000A1B2F">
        <w:rPr>
          <w:rFonts w:asciiTheme="minorHAnsi" w:hAnsiTheme="minorHAnsi"/>
        </w:rPr>
        <w:t xml:space="preserve"> PRA</w:t>
      </w:r>
      <w:r w:rsidRPr="00B443FB">
        <w:rPr>
          <w:rFonts w:asciiTheme="minorHAnsi" w:hAnsiTheme="minorHAnsi"/>
        </w:rPr>
        <w:t xml:space="preserve"> units after the effective date of this rule;</w:t>
      </w:r>
    </w:p>
    <w:p w14:paraId="44948F5B"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(17) Taking "choice limiting" actions prior to receiving HUD environmental clearance (24 CFR §58.22);</w:t>
      </w:r>
    </w:p>
    <w:p w14:paraId="124C64A9" w14:textId="3AAAC92A"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(18) Substandard construction, as defined by the </w:t>
      </w:r>
      <w:r w:rsidR="000A1B2F">
        <w:rPr>
          <w:rFonts w:asciiTheme="minorHAnsi" w:hAnsiTheme="minorHAnsi"/>
        </w:rPr>
        <w:t>P</w:t>
      </w:r>
      <w:r w:rsidRPr="00B443FB">
        <w:rPr>
          <w:rFonts w:asciiTheme="minorHAnsi" w:hAnsiTheme="minorHAnsi"/>
        </w:rPr>
        <w:t>rogram, and repeated failure to conduct required inspections;</w:t>
      </w:r>
    </w:p>
    <w:p w14:paraId="17BE6FA1"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(19) Repeated failure to provide eligible match. 24 CFR §92.220, 24 CFR §576.201, and as required by NOFA;</w:t>
      </w:r>
    </w:p>
    <w:p w14:paraId="7FCD2ADB"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(20) Repeated failure to report program income. 24 CFR §570.500, 24 CFR §576.407(c), 2 CFR Part 215 (if applicable), and 10 TAC §20.9, or as defined by Program Rule;</w:t>
      </w:r>
    </w:p>
    <w:p w14:paraId="7CF21CAD" w14:textId="44F41DF5" w:rsidR="005163E4" w:rsidRPr="00B443FB" w:rsidRDefault="005163E4" w:rsidP="0027134A">
      <w:pPr>
        <w:spacing w:line="240" w:lineRule="auto"/>
        <w:jc w:val="both"/>
        <w:rPr>
          <w:rFonts w:asciiTheme="minorHAnsi" w:hAnsiTheme="minorHAnsi"/>
        </w:rPr>
      </w:pPr>
      <w:r w:rsidRPr="00B443FB">
        <w:rPr>
          <w:rFonts w:asciiTheme="minorHAnsi" w:hAnsiTheme="minorHAnsi"/>
        </w:rPr>
        <w:t>(21) Participating in activities leading to or giving the appearance of "Conflict of Interest". 2 CFR Part 215 (if applicable), 24 CFR §84.42, §92.356 (if applicable),</w:t>
      </w:r>
      <w:r w:rsidR="00E70113">
        <w:rPr>
          <w:rFonts w:asciiTheme="minorHAnsi" w:hAnsiTheme="minorHAnsi"/>
        </w:rPr>
        <w:t xml:space="preserve"> </w:t>
      </w:r>
      <w:r w:rsidR="00E70113" w:rsidRPr="00E70113">
        <w:rPr>
          <w:rFonts w:asciiTheme="minorHAnsi" w:hAnsiTheme="minorHAnsi"/>
        </w:rPr>
        <w:t>§</w:t>
      </w:r>
      <w:r w:rsidR="00E70113">
        <w:rPr>
          <w:rFonts w:asciiTheme="minorHAnsi" w:hAnsiTheme="minorHAnsi"/>
        </w:rPr>
        <w:t>570.</w:t>
      </w:r>
      <w:r w:rsidR="00E53C44">
        <w:rPr>
          <w:rFonts w:asciiTheme="minorHAnsi" w:hAnsiTheme="minorHAnsi"/>
        </w:rPr>
        <w:t>489</w:t>
      </w:r>
      <w:proofErr w:type="gramStart"/>
      <w:r w:rsidR="00E53C44">
        <w:rPr>
          <w:rFonts w:asciiTheme="minorHAnsi" w:hAnsiTheme="minorHAnsi"/>
        </w:rPr>
        <w:t xml:space="preserve">, </w:t>
      </w:r>
      <w:r w:rsidR="00E70113">
        <w:rPr>
          <w:rFonts w:asciiTheme="minorHAnsi" w:hAnsiTheme="minorHAnsi"/>
        </w:rPr>
        <w:t xml:space="preserve"> </w:t>
      </w:r>
      <w:r w:rsidR="00E53C44" w:rsidRPr="00E53C44">
        <w:rPr>
          <w:rFonts w:asciiTheme="minorHAnsi" w:hAnsiTheme="minorHAnsi"/>
        </w:rPr>
        <w:t>§</w:t>
      </w:r>
      <w:proofErr w:type="gramEnd"/>
      <w:r w:rsidR="00E53C44">
        <w:rPr>
          <w:rFonts w:asciiTheme="minorHAnsi" w:hAnsiTheme="minorHAnsi"/>
        </w:rPr>
        <w:t>576.404,</w:t>
      </w:r>
      <w:r w:rsidRPr="00B443FB">
        <w:rPr>
          <w:rFonts w:asciiTheme="minorHAnsi" w:hAnsiTheme="minorHAnsi"/>
        </w:rPr>
        <w:t xml:space="preserve"> 10 TAC §20.9, or as defined by Program Rule;</w:t>
      </w:r>
    </w:p>
    <w:p w14:paraId="6F430245" w14:textId="642E27B4" w:rsidR="005163E4" w:rsidRPr="00B443FB" w:rsidRDefault="005163E4" w:rsidP="0027134A">
      <w:pPr>
        <w:spacing w:line="240" w:lineRule="auto"/>
        <w:jc w:val="both"/>
        <w:rPr>
          <w:rFonts w:asciiTheme="minorHAnsi" w:hAnsiTheme="minorHAnsi"/>
        </w:rPr>
      </w:pPr>
      <w:r w:rsidRPr="00B443FB">
        <w:rPr>
          <w:rFonts w:asciiTheme="minorHAnsi" w:hAnsiTheme="minorHAnsi"/>
        </w:rPr>
        <w:t>(22) Repeated material financial system deficiencies. 24 CFR §§84.21, 84.43, 85.20, 85.22, 85.36, 92.205, 92.206, 92.350, 92.505, and 92.508 (if applicable),</w:t>
      </w:r>
      <w:r w:rsidR="00E53C44">
        <w:rPr>
          <w:rFonts w:asciiTheme="minorHAnsi" w:hAnsiTheme="minorHAnsi"/>
        </w:rPr>
        <w:t xml:space="preserve"> </w:t>
      </w:r>
      <w:r w:rsidRPr="00B443FB">
        <w:rPr>
          <w:rFonts w:asciiTheme="minorHAnsi" w:hAnsiTheme="minorHAnsi"/>
        </w:rPr>
        <w:t>OMB A-110 Relocated to 2 CFR Part 215 (if applicable), OMB A-87 Relocated to 2 CFR Part 225 (if applicable), OMB A-122 Relocated to 2 CFR Part 230 (if applicable), 10 TAC §20.9 and Uniform Grant Management Standards (if applicable) and as defined by Program Rule.</w:t>
      </w:r>
    </w:p>
    <w:p w14:paraId="78BB00C8" w14:textId="3825D53E"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(23) Repeated violations of </w:t>
      </w:r>
      <w:r w:rsidR="000A1B2F">
        <w:rPr>
          <w:rFonts w:asciiTheme="minorHAnsi" w:hAnsiTheme="minorHAnsi"/>
        </w:rPr>
        <w:t>S</w:t>
      </w:r>
      <w:r w:rsidRPr="00B443FB">
        <w:rPr>
          <w:rFonts w:asciiTheme="minorHAnsi" w:hAnsiTheme="minorHAnsi"/>
        </w:rPr>
        <w:t xml:space="preserve">ingle </w:t>
      </w:r>
      <w:r w:rsidR="000A1B2F">
        <w:rPr>
          <w:rFonts w:asciiTheme="minorHAnsi" w:hAnsiTheme="minorHAnsi"/>
        </w:rPr>
        <w:t>A</w:t>
      </w:r>
      <w:r w:rsidRPr="00B443FB">
        <w:rPr>
          <w:rFonts w:asciiTheme="minorHAnsi" w:hAnsiTheme="minorHAnsi"/>
        </w:rPr>
        <w:t>udit or other programmatic audit requirements;</w:t>
      </w:r>
    </w:p>
    <w:p w14:paraId="3919F244" w14:textId="1E727255" w:rsidR="005163E4" w:rsidRPr="00B443FB" w:rsidRDefault="005163E4" w:rsidP="0027134A">
      <w:pPr>
        <w:spacing w:line="240" w:lineRule="auto"/>
        <w:jc w:val="both"/>
        <w:rPr>
          <w:rFonts w:asciiTheme="minorHAnsi" w:hAnsiTheme="minorHAnsi"/>
        </w:rPr>
      </w:pPr>
      <w:r w:rsidRPr="00B443FB">
        <w:rPr>
          <w:rFonts w:asciiTheme="minorHAnsi" w:hAnsiTheme="minorHAnsi"/>
        </w:rPr>
        <w:t>(24) Failure to remain a CHDO for De</w:t>
      </w:r>
      <w:r w:rsidR="00E53C44">
        <w:rPr>
          <w:rFonts w:asciiTheme="minorHAnsi" w:hAnsiTheme="minorHAnsi"/>
        </w:rPr>
        <w:t>partment</w:t>
      </w:r>
      <w:r w:rsidRPr="00B443FB">
        <w:rPr>
          <w:rFonts w:asciiTheme="minorHAnsi" w:hAnsiTheme="minorHAnsi"/>
        </w:rPr>
        <w:t xml:space="preserve"> committed HOME funds;</w:t>
      </w:r>
    </w:p>
    <w:p w14:paraId="336FED0D"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(25) Commingling of funds, Misapplication of funds;</w:t>
      </w:r>
    </w:p>
    <w:p w14:paraId="67E5D719" w14:textId="18A2FB62" w:rsidR="005163E4" w:rsidRPr="00B443FB" w:rsidRDefault="005163E4" w:rsidP="0027134A">
      <w:pPr>
        <w:spacing w:line="240" w:lineRule="auto"/>
        <w:jc w:val="both"/>
        <w:rPr>
          <w:rFonts w:asciiTheme="minorHAnsi" w:hAnsiTheme="minorHAnsi"/>
        </w:rPr>
      </w:pPr>
      <w:r w:rsidRPr="00B443FB">
        <w:rPr>
          <w:rFonts w:asciiTheme="minorHAnsi" w:hAnsiTheme="minorHAnsi"/>
        </w:rPr>
        <w:t>(26) Refusing to submit a required</w:t>
      </w:r>
      <w:r w:rsidR="00E53C44">
        <w:rPr>
          <w:rFonts w:asciiTheme="minorHAnsi" w:hAnsiTheme="minorHAnsi"/>
        </w:rPr>
        <w:t xml:space="preserve"> Audit Certification Form,</w:t>
      </w:r>
      <w:r w:rsidRPr="00B443FB">
        <w:rPr>
          <w:rFonts w:asciiTheme="minorHAnsi" w:hAnsiTheme="minorHAnsi"/>
        </w:rPr>
        <w:t xml:space="preserve"> Single Audit</w:t>
      </w:r>
      <w:r w:rsidR="00E53C44">
        <w:rPr>
          <w:rFonts w:asciiTheme="minorHAnsi" w:hAnsiTheme="minorHAnsi"/>
        </w:rPr>
        <w:t>,</w:t>
      </w:r>
      <w:r w:rsidRPr="00B443FB">
        <w:rPr>
          <w:rFonts w:asciiTheme="minorHAnsi" w:hAnsiTheme="minorHAnsi"/>
        </w:rPr>
        <w:t xml:space="preserve"> or other programmatic audit;</w:t>
      </w:r>
    </w:p>
    <w:p w14:paraId="7779CFF1"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(27) Refusing to timely respond to reports/provide required correspondence;</w:t>
      </w:r>
    </w:p>
    <w:p w14:paraId="172B460B"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(28) Failure to timely expend funds; and</w:t>
      </w:r>
    </w:p>
    <w:p w14:paraId="722AC047"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(29) A Monitoring Event determines that 50% or more of the client or household files reviewed do not contain required documentation to support income eligibility or indicate that the client or household is not income eligible.</w:t>
      </w:r>
    </w:p>
    <w:p w14:paraId="648ECA86" w14:textId="0E05EAE7" w:rsidR="005163E4" w:rsidRPr="00B443FB" w:rsidRDefault="005163E4" w:rsidP="0027134A">
      <w:pPr>
        <w:spacing w:line="240" w:lineRule="auto"/>
        <w:jc w:val="both"/>
        <w:rPr>
          <w:rFonts w:asciiTheme="minorHAnsi" w:hAnsiTheme="minorHAnsi"/>
        </w:rPr>
      </w:pPr>
      <w:r w:rsidRPr="00B443FB">
        <w:rPr>
          <w:rFonts w:asciiTheme="minorHAnsi" w:hAnsiTheme="minorHAnsi"/>
        </w:rPr>
        <w:t>(b) The Department shall debar any Responsible Party, Consultant, or Vendor who is debarred from participation in any program administered by the United States Government.</w:t>
      </w:r>
    </w:p>
    <w:p w14:paraId="15376F4E" w14:textId="71E208C2" w:rsidR="005163E4" w:rsidRPr="00B443FB" w:rsidRDefault="005163E4" w:rsidP="0027134A">
      <w:pPr>
        <w:spacing w:line="240" w:lineRule="auto"/>
        <w:jc w:val="both"/>
        <w:rPr>
          <w:rFonts w:asciiTheme="minorHAnsi" w:hAnsiTheme="minorHAnsi"/>
        </w:rPr>
      </w:pPr>
      <w:r w:rsidRPr="00B443FB">
        <w:rPr>
          <w:rFonts w:asciiTheme="minorHAnsi" w:hAnsiTheme="minorHAnsi"/>
        </w:rPr>
        <w:t>(c) Debarment for violations of the Department’s Multifamily Programs. The Department shall debar any Responsible Party who has materially or repeatedly violated any condition imposed by the Department in connection with the administration of a Department program, including but not limited to a material or repeated violation of a land use restriction agreement (LURA). Subsection (d) of this section provides the criteria the Department will use to determine if there has been a material violation of a LURA. Subsections (e</w:t>
      </w:r>
      <w:proofErr w:type="gramStart"/>
      <w:r w:rsidRPr="00B443FB">
        <w:rPr>
          <w:rFonts w:asciiTheme="minorHAnsi" w:hAnsiTheme="minorHAnsi"/>
        </w:rPr>
        <w:t>)(</w:t>
      </w:r>
      <w:proofErr w:type="gramEnd"/>
      <w:r w:rsidRPr="00B443FB">
        <w:rPr>
          <w:rFonts w:asciiTheme="minorHAnsi" w:hAnsiTheme="minorHAnsi"/>
        </w:rPr>
        <w:t>1) and (e)(2) of this section provide the criteria the Department shall use to determine if there have been repeated violations of a LURA.</w:t>
      </w:r>
    </w:p>
    <w:p w14:paraId="0AB5C341" w14:textId="3B0A0D02" w:rsidR="005163E4" w:rsidRPr="00B443FB" w:rsidRDefault="005163E4" w:rsidP="0027134A">
      <w:pPr>
        <w:spacing w:line="240" w:lineRule="auto"/>
        <w:jc w:val="both"/>
        <w:rPr>
          <w:rFonts w:asciiTheme="minorHAnsi" w:hAnsiTheme="minorHAnsi"/>
        </w:rPr>
      </w:pPr>
      <w:r w:rsidRPr="00B443FB">
        <w:rPr>
          <w:rFonts w:asciiTheme="minorHAnsi" w:hAnsiTheme="minorHAnsi"/>
        </w:rPr>
        <w:t>(d) Material violations of a LURA A Responsible Party will be considered to have materially violated a LURA, Program Agreement, or condition imposed by the Department and shall be referred to the committee for mandatory Debarment if they;</w:t>
      </w:r>
    </w:p>
    <w:p w14:paraId="7A1045C3" w14:textId="5562E764" w:rsidR="005163E4" w:rsidRPr="00B443FB" w:rsidRDefault="005163E4" w:rsidP="0027134A">
      <w:pPr>
        <w:tabs>
          <w:tab w:val="left" w:pos="7380"/>
        </w:tabs>
        <w:spacing w:line="240" w:lineRule="auto"/>
        <w:jc w:val="both"/>
        <w:rPr>
          <w:rFonts w:asciiTheme="minorHAnsi" w:hAnsiTheme="minorHAnsi"/>
        </w:rPr>
      </w:pPr>
      <w:r w:rsidRPr="00B443FB">
        <w:rPr>
          <w:rFonts w:asciiTheme="minorHAnsi" w:hAnsiTheme="minorHAnsi"/>
        </w:rPr>
        <w:t xml:space="preserve">(1) Control a Development that has, on more than one occasion scored 50 or less on a UPCS inspection; </w:t>
      </w:r>
    </w:p>
    <w:p w14:paraId="5D515009" w14:textId="7EBBD991" w:rsidR="005163E4" w:rsidRPr="00B443FB" w:rsidRDefault="005163E4" w:rsidP="0027134A">
      <w:pPr>
        <w:spacing w:line="240" w:lineRule="auto"/>
        <w:jc w:val="both"/>
        <w:rPr>
          <w:rFonts w:asciiTheme="minorHAnsi" w:hAnsiTheme="minorHAnsi"/>
        </w:rPr>
      </w:pPr>
      <w:r w:rsidRPr="00B443FB">
        <w:rPr>
          <w:rFonts w:asciiTheme="minorHAnsi" w:hAnsiTheme="minorHAnsi"/>
        </w:rPr>
        <w:t>(2) Refuse to  allow a monitoring visit when proper notice was provided or failed to notif</w:t>
      </w:r>
      <w:r w:rsidR="00C6197A" w:rsidRPr="00B443FB">
        <w:rPr>
          <w:rFonts w:asciiTheme="minorHAnsi" w:hAnsiTheme="minorHAnsi"/>
        </w:rPr>
        <w:t>y</w:t>
      </w:r>
      <w:r w:rsidRPr="00B443FB">
        <w:rPr>
          <w:rFonts w:asciiTheme="minorHAnsi" w:hAnsiTheme="minorHAnsi"/>
        </w:rPr>
        <w:t xml:space="preserve"> residents resulting in inspection cancellation, or otherwise fails to make units and records available;</w:t>
      </w:r>
    </w:p>
    <w:p w14:paraId="13784F66" w14:textId="3C075ED7"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(3) </w:t>
      </w:r>
      <w:proofErr w:type="gramStart"/>
      <w:r w:rsidRPr="00B443FB">
        <w:rPr>
          <w:rFonts w:asciiTheme="minorHAnsi" w:hAnsiTheme="minorHAnsi"/>
        </w:rPr>
        <w:t>Refuse</w:t>
      </w:r>
      <w:proofErr w:type="gramEnd"/>
      <w:r w:rsidRPr="00B443FB">
        <w:rPr>
          <w:rFonts w:asciiTheme="minorHAnsi" w:hAnsiTheme="minorHAnsi"/>
        </w:rPr>
        <w:t xml:space="preserve"> to reduce rents to less than the highest allowed under the LURA;</w:t>
      </w:r>
    </w:p>
    <w:p w14:paraId="098AC5A3"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(4) Fail to meet minimum set aside by the end of the first year of the credit period (HTC Developments only) after the effective date of this rule; or</w:t>
      </w:r>
    </w:p>
    <w:p w14:paraId="2BCCBFEE" w14:textId="5DBB424D" w:rsidR="005163E4" w:rsidRPr="00B443FB" w:rsidRDefault="005163E4" w:rsidP="0027134A">
      <w:pPr>
        <w:spacing w:line="240" w:lineRule="auto"/>
        <w:jc w:val="both"/>
        <w:rPr>
          <w:rFonts w:asciiTheme="minorHAnsi" w:hAnsiTheme="minorHAnsi"/>
        </w:rPr>
      </w:pPr>
      <w:r w:rsidRPr="00B443FB">
        <w:rPr>
          <w:rFonts w:asciiTheme="minorHAnsi" w:hAnsiTheme="minorHAnsi"/>
        </w:rPr>
        <w:lastRenderedPageBreak/>
        <w:t>(5)</w:t>
      </w:r>
      <w:r w:rsidR="00BD52A9">
        <w:rPr>
          <w:rFonts w:asciiTheme="minorHAnsi" w:hAnsiTheme="minorHAnsi"/>
        </w:rPr>
        <w:t>Excluding</w:t>
      </w:r>
      <w:r w:rsidR="00BD52A9" w:rsidRPr="00BD52A9">
        <w:rPr>
          <w:rFonts w:asciiTheme="minorHAnsi" w:hAnsiTheme="minorHAnsi"/>
        </w:rPr>
        <w:t xml:space="preserve"> an individual or family from admission to the Development solely because the household participates in the HOME Tenant Based Rental Assistance Program, the housing choice voucher program under Section 8, United States Housing Act of 1937 (42 U.S.C. §1-437), or other federal, state, or local government rental assistance progra</w:t>
      </w:r>
      <w:r w:rsidR="00BD52A9">
        <w:rPr>
          <w:rFonts w:asciiTheme="minorHAnsi" w:hAnsiTheme="minorHAnsi"/>
        </w:rPr>
        <w:t>m</w:t>
      </w:r>
      <w:r w:rsidR="00CB5F10">
        <w:rPr>
          <w:rFonts w:asciiTheme="minorHAnsi" w:hAnsiTheme="minorHAnsi"/>
        </w:rPr>
        <w:t xml:space="preserve"> after the effective date of this rule.  </w:t>
      </w:r>
    </w:p>
    <w:p w14:paraId="68EBCC66" w14:textId="73EB78DC"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(e) Repeated Violations of a LURA that shall be considered grounds for Debarment. </w:t>
      </w:r>
    </w:p>
    <w:p w14:paraId="390D5513" w14:textId="76D7FCD1"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(1) A Responsible Party shall be referred to the Committee for mandatory Debarment if they Control a Development that during two consecutive Monitoring Events is found to be out of compliance with the following Events of Noncompliance: </w:t>
      </w:r>
    </w:p>
    <w:p w14:paraId="4F858295" w14:textId="55717B53"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(A) No evidence of, or failure to certify to, material participation of a non-profit or HUB, if required by the Land Use Restriction Agreement; </w:t>
      </w:r>
    </w:p>
    <w:p w14:paraId="4FEF6F4F"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(B) Uniform Physical Condition Standards Violations that result in a score of 70 or below in sequential UPCS inspections after the effective date of this rule;</w:t>
      </w:r>
    </w:p>
    <w:p w14:paraId="2F8E1A18"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(C) Refuse to submit all or parts of the Annual Owner’s Compliance Report for two consecutive years after the effective date of this rule, ; or</w:t>
      </w:r>
    </w:p>
    <w:p w14:paraId="798BCFE0"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(D) Gross rents exceed the highest rent allowed under the LURA or other deed restriction.</w:t>
      </w:r>
    </w:p>
    <w:p w14:paraId="03B2B752"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(2) Repeated violations in a portfolio. Persons who control five or more Actively Monitored Developments will be considered for Debarment based on repeated violations in a portfolio. A Person shall be referred to be committee for mandatory will be referred for Debarment if an inspection or referral, after the effective date of this rule, indicates the following:</w:t>
      </w:r>
    </w:p>
    <w:p w14:paraId="7A2F6A7A"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(A) 50% or more of the Actively Monitored Developments in the portfolio have been referred to the Enforcement Committee; or,</w:t>
      </w:r>
    </w:p>
    <w:p w14:paraId="0814B22D"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(B) 50% or more of the Actively Monitored Developments in the portfolio score a 70 or less during a Uniform Physical Conditions Standards inspection.</w:t>
      </w:r>
    </w:p>
    <w:p w14:paraId="297A42F3" w14:textId="6B0C35FD" w:rsidR="005163E4" w:rsidRPr="00B443FB" w:rsidRDefault="005163E4" w:rsidP="0027134A">
      <w:pPr>
        <w:spacing w:line="240" w:lineRule="auto"/>
        <w:jc w:val="both"/>
        <w:rPr>
          <w:rFonts w:asciiTheme="minorHAnsi" w:hAnsiTheme="minorHAnsi"/>
        </w:rPr>
      </w:pPr>
      <w:r w:rsidRPr="00B443FB">
        <w:rPr>
          <w:rFonts w:asciiTheme="minorHAnsi" w:hAnsiTheme="minorHAnsi"/>
        </w:rPr>
        <w:t>(f) Debarment for violations of all other Department Programs, with the exception of the</w:t>
      </w:r>
      <w:r w:rsidR="000A1B2F">
        <w:rPr>
          <w:rFonts w:asciiTheme="minorHAnsi" w:hAnsiTheme="minorHAnsi"/>
        </w:rPr>
        <w:t xml:space="preserve"> </w:t>
      </w:r>
      <w:r w:rsidR="00E94D86">
        <w:rPr>
          <w:rFonts w:asciiTheme="minorHAnsi" w:hAnsiTheme="minorHAnsi"/>
        </w:rPr>
        <w:t>Non-Discretionary funds</w:t>
      </w:r>
      <w:r w:rsidR="000A1B2F">
        <w:rPr>
          <w:rFonts w:asciiTheme="minorHAnsi" w:hAnsiTheme="minorHAnsi"/>
        </w:rPr>
        <w:t xml:space="preserve"> in the</w:t>
      </w:r>
      <w:r w:rsidRPr="00B443FB">
        <w:rPr>
          <w:rFonts w:asciiTheme="minorHAnsi" w:hAnsiTheme="minorHAnsi"/>
        </w:rPr>
        <w:t xml:space="preserve"> Community Services Block Grant program. Material or repeated violations of conditions imposed in connection with the administration of Programs administered by the Department. Administrators, </w:t>
      </w:r>
      <w:proofErr w:type="spellStart"/>
      <w:r w:rsidRPr="00B443FB">
        <w:rPr>
          <w:rFonts w:asciiTheme="minorHAnsi" w:hAnsiTheme="minorHAnsi"/>
        </w:rPr>
        <w:t>Subrecipients</w:t>
      </w:r>
      <w:proofErr w:type="spellEnd"/>
      <w:r w:rsidRPr="00B443FB">
        <w:rPr>
          <w:rFonts w:asciiTheme="minorHAnsi" w:hAnsiTheme="minorHAnsi"/>
        </w:rPr>
        <w:t xml:space="preserve">, Responsible Parties, contractors, multifamily owners, and related parties shall be referred to the Committee for consideration for Debarment for violations including but not limited to: </w:t>
      </w:r>
    </w:p>
    <w:p w14:paraId="52671CD9" w14:textId="248D1A19"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(1) 50% or more loan defaults in the first 12 months of the loan agreement after the effective date of this rule; </w:t>
      </w:r>
    </w:p>
    <w:p w14:paraId="3D967465" w14:textId="240AA9D5"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(4) The following Davis Bacon Act Violations: </w:t>
      </w:r>
    </w:p>
    <w:p w14:paraId="4FFC1477" w14:textId="5F5BF34D"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(A) Refusing to pay restitution (underpayment of wages). 29 CFR §5.31. </w:t>
      </w:r>
    </w:p>
    <w:p w14:paraId="14AA07E7" w14:textId="2415B3EA"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(B) Refusing to pay liquidated damages (overtime violations). 29 CFR §5.8. </w:t>
      </w:r>
    </w:p>
    <w:p w14:paraId="59FDE742" w14:textId="6FA3CB8E"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(C) Repeated failure to pay full prevailing wage, including fringe benefits, for all hours worked. 29 CFR §5.31. </w:t>
      </w:r>
    </w:p>
    <w:p w14:paraId="7C9DAD9C" w14:textId="6E56740F" w:rsidR="005163E4" w:rsidRPr="00B443FB" w:rsidRDefault="005163E4" w:rsidP="0027134A">
      <w:pPr>
        <w:spacing w:line="240" w:lineRule="auto"/>
        <w:jc w:val="both"/>
        <w:rPr>
          <w:rFonts w:asciiTheme="minorHAnsi" w:hAnsiTheme="minorHAnsi"/>
        </w:rPr>
      </w:pPr>
      <w:r w:rsidRPr="00B443FB">
        <w:rPr>
          <w:rFonts w:asciiTheme="minorHAnsi" w:hAnsiTheme="minorHAnsi"/>
        </w:rPr>
        <w:t>(</w:t>
      </w:r>
      <w:r w:rsidR="00E94D86">
        <w:rPr>
          <w:rFonts w:asciiTheme="minorHAnsi" w:hAnsiTheme="minorHAnsi"/>
        </w:rPr>
        <w:t>2</w:t>
      </w:r>
      <w:r w:rsidRPr="00B443FB">
        <w:rPr>
          <w:rFonts w:asciiTheme="minorHAnsi" w:hAnsiTheme="minorHAnsi"/>
        </w:rPr>
        <w:t xml:space="preserve">) The following violations of the Uniform Relocation Act and requirements of §104(d): </w:t>
      </w:r>
    </w:p>
    <w:p w14:paraId="481A2352" w14:textId="05AF63CE"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(A) Repeated failure to provide the General Information Notice to tenants prior to application. 49 CFR §24.203, 24 CFR §92.353, 24 CFR §93.352 and HUD Handbook 1378. </w:t>
      </w:r>
    </w:p>
    <w:p w14:paraId="2DC9DF20" w14:textId="34948F28"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(B) Repeated failure to provide all required information in the General Information Notice. 49 CFR §24.203, 24 CFR §92.353, 24 CFR §93.352 and HUD Handbook 1378. </w:t>
      </w:r>
    </w:p>
    <w:p w14:paraId="34819C67" w14:textId="533E36C5" w:rsidR="005163E4" w:rsidRPr="00B443FB" w:rsidRDefault="005163E4" w:rsidP="0027134A">
      <w:pPr>
        <w:spacing w:line="240" w:lineRule="auto"/>
        <w:jc w:val="both"/>
        <w:rPr>
          <w:rFonts w:asciiTheme="minorHAnsi" w:hAnsiTheme="minorHAnsi"/>
        </w:rPr>
      </w:pPr>
      <w:r w:rsidRPr="00B443FB">
        <w:rPr>
          <w:rFonts w:asciiTheme="minorHAnsi" w:hAnsiTheme="minorHAnsi"/>
        </w:rPr>
        <w:t>(C) Repeated failure to provide the Notice of Eligibility and/or Notice of Non-displacement on or before the Initiation of Negotiations date. 49 CFR §24.203, 24 CFR §92.353, 24 CFR §93.352</w:t>
      </w:r>
      <w:r w:rsidR="00694867">
        <w:rPr>
          <w:rFonts w:asciiTheme="minorHAnsi" w:hAnsiTheme="minorHAnsi"/>
        </w:rPr>
        <w:t xml:space="preserve">, and </w:t>
      </w:r>
      <w:r w:rsidR="00BE3557" w:rsidRPr="00BE3557">
        <w:rPr>
          <w:rFonts w:asciiTheme="minorHAnsi" w:hAnsiTheme="minorHAnsi"/>
        </w:rPr>
        <w:t>24 CFR §570.606</w:t>
      </w:r>
      <w:r w:rsidRPr="00B443FB">
        <w:rPr>
          <w:rFonts w:asciiTheme="minorHAnsi" w:hAnsiTheme="minorHAnsi"/>
        </w:rPr>
        <w:t>.</w:t>
      </w:r>
    </w:p>
    <w:p w14:paraId="6B59E3B9" w14:textId="2C6EA3F8" w:rsidR="005163E4" w:rsidRPr="00B443FB" w:rsidRDefault="005163E4" w:rsidP="0027134A">
      <w:pPr>
        <w:spacing w:line="240" w:lineRule="auto"/>
        <w:jc w:val="both"/>
        <w:rPr>
          <w:rFonts w:asciiTheme="minorHAnsi" w:hAnsiTheme="minorHAnsi"/>
        </w:rPr>
      </w:pPr>
      <w:r w:rsidRPr="00B443FB">
        <w:rPr>
          <w:rFonts w:asciiTheme="minorHAnsi" w:hAnsiTheme="minorHAnsi"/>
        </w:rPr>
        <w:t>(D) Repeated failure to provide all required information in the Notice of Eligibility and/or Notice of Non-displacement. 49 CFR §24.203, 24 CFR §92.353, 24 CFR §93.352</w:t>
      </w:r>
      <w:r w:rsidR="00694867">
        <w:rPr>
          <w:rFonts w:asciiTheme="minorHAnsi" w:hAnsiTheme="minorHAnsi"/>
        </w:rPr>
        <w:t xml:space="preserve">, and </w:t>
      </w:r>
      <w:r w:rsidR="00694867" w:rsidRPr="00694867">
        <w:rPr>
          <w:rFonts w:asciiTheme="minorHAnsi" w:hAnsiTheme="minorHAnsi"/>
        </w:rPr>
        <w:t>24 CFR §570.606</w:t>
      </w:r>
      <w:r w:rsidRPr="00B443FB">
        <w:rPr>
          <w:rFonts w:asciiTheme="minorHAnsi" w:hAnsiTheme="minorHAnsi"/>
        </w:rPr>
        <w:t xml:space="preserve">. </w:t>
      </w:r>
    </w:p>
    <w:p w14:paraId="728214E8" w14:textId="7BB0E2A8" w:rsidR="005163E4" w:rsidRPr="00B443FB" w:rsidRDefault="005163E4" w:rsidP="0027134A">
      <w:pPr>
        <w:spacing w:line="240" w:lineRule="auto"/>
        <w:jc w:val="both"/>
        <w:rPr>
          <w:rFonts w:asciiTheme="minorHAnsi" w:hAnsiTheme="minorHAnsi"/>
        </w:rPr>
      </w:pPr>
      <w:r w:rsidRPr="00B443FB">
        <w:rPr>
          <w:rFonts w:asciiTheme="minorHAnsi" w:hAnsiTheme="minorHAnsi"/>
        </w:rPr>
        <w:lastRenderedPageBreak/>
        <w:t>(E) Repeated failure to provide 90 Day Notices to all "displaced" tenants and/or repeated failure to provide 30 Day Notices to all "non-displaced" tenants. 49 CFR §24.203, 24 CFR §92.353, 24 CFR §93.352</w:t>
      </w:r>
      <w:r w:rsidR="00E94D86">
        <w:rPr>
          <w:rFonts w:asciiTheme="minorHAnsi" w:hAnsiTheme="minorHAnsi"/>
        </w:rPr>
        <w:t xml:space="preserve">, and 24 CFR </w:t>
      </w:r>
      <w:r w:rsidR="00E94D86" w:rsidRPr="00E94D86">
        <w:rPr>
          <w:rFonts w:asciiTheme="minorHAnsi" w:hAnsiTheme="minorHAnsi"/>
        </w:rPr>
        <w:t>§</w:t>
      </w:r>
      <w:r w:rsidR="00E94D86">
        <w:rPr>
          <w:rFonts w:asciiTheme="minorHAnsi" w:hAnsiTheme="minorHAnsi"/>
        </w:rPr>
        <w:t>570.</w:t>
      </w:r>
      <w:r w:rsidR="00694867">
        <w:rPr>
          <w:rFonts w:asciiTheme="minorHAnsi" w:hAnsiTheme="minorHAnsi"/>
        </w:rPr>
        <w:t>606</w:t>
      </w:r>
      <w:r w:rsidRPr="00B443FB">
        <w:rPr>
          <w:rFonts w:asciiTheme="minorHAnsi" w:hAnsiTheme="minorHAnsi"/>
        </w:rPr>
        <w:t>.</w:t>
      </w:r>
    </w:p>
    <w:p w14:paraId="03690D48" w14:textId="754C5B51" w:rsidR="005163E4" w:rsidRPr="00B443FB" w:rsidRDefault="005163E4" w:rsidP="0027134A">
      <w:pPr>
        <w:spacing w:line="240" w:lineRule="auto"/>
        <w:jc w:val="both"/>
        <w:rPr>
          <w:rFonts w:asciiTheme="minorHAnsi" w:hAnsiTheme="minorHAnsi"/>
        </w:rPr>
      </w:pPr>
      <w:r w:rsidRPr="00B443FB">
        <w:rPr>
          <w:rFonts w:asciiTheme="minorHAnsi" w:hAnsiTheme="minorHAnsi"/>
        </w:rPr>
        <w:t>(F) Repeated failure to perform and document "decent, safe and sanitary" inspections of replacement housing. 49 CFR §24.203, 24 CFR §92.353, 24 CFR §93.352</w:t>
      </w:r>
      <w:r w:rsidR="00694867">
        <w:rPr>
          <w:rFonts w:asciiTheme="minorHAnsi" w:hAnsiTheme="minorHAnsi"/>
        </w:rPr>
        <w:t xml:space="preserve">, and </w:t>
      </w:r>
      <w:r w:rsidR="00694867" w:rsidRPr="00694867">
        <w:rPr>
          <w:rFonts w:asciiTheme="minorHAnsi" w:hAnsiTheme="minorHAnsi"/>
        </w:rPr>
        <w:t>24 CFR §570.606</w:t>
      </w:r>
      <w:r w:rsidRPr="00B443FB">
        <w:rPr>
          <w:rFonts w:asciiTheme="minorHAnsi" w:hAnsiTheme="minorHAnsi"/>
        </w:rPr>
        <w:t xml:space="preserve">. </w:t>
      </w:r>
    </w:p>
    <w:p w14:paraId="702F4684" w14:textId="0A8A0873"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(G) Refusing to properly provide Uniform Relocation Act or </w:t>
      </w:r>
      <w:r w:rsidR="00694867" w:rsidRPr="00694867">
        <w:rPr>
          <w:rFonts w:asciiTheme="minorHAnsi" w:hAnsiTheme="minorHAnsi"/>
        </w:rPr>
        <w:t>§</w:t>
      </w:r>
      <w:r w:rsidRPr="00B443FB">
        <w:rPr>
          <w:rFonts w:asciiTheme="minorHAnsi" w:hAnsiTheme="minorHAnsi"/>
        </w:rPr>
        <w:t>104(d) assistance. 49 CFR §24.203, 24 CFR §92.353</w:t>
      </w:r>
      <w:r w:rsidR="00BE3557">
        <w:rPr>
          <w:rFonts w:asciiTheme="minorHAnsi" w:hAnsiTheme="minorHAnsi"/>
        </w:rPr>
        <w:t xml:space="preserve">, 24 </w:t>
      </w:r>
      <w:r w:rsidR="00BE3557" w:rsidRPr="00BE3557">
        <w:rPr>
          <w:rFonts w:asciiTheme="minorHAnsi" w:hAnsiTheme="minorHAnsi"/>
        </w:rPr>
        <w:t>§570.606</w:t>
      </w:r>
      <w:r w:rsidRPr="00B443FB">
        <w:rPr>
          <w:rFonts w:asciiTheme="minorHAnsi" w:hAnsiTheme="minorHAnsi"/>
        </w:rPr>
        <w:t xml:space="preserve"> and §104(d) of the Housing &amp; Community Development Act of 1974 - 24 CFR Part 42. </w:t>
      </w:r>
    </w:p>
    <w:p w14:paraId="0BC0945A" w14:textId="0C1BC802" w:rsidR="005163E4" w:rsidRPr="00B443FB" w:rsidRDefault="005163E4" w:rsidP="0027134A">
      <w:pPr>
        <w:spacing w:line="240" w:lineRule="auto"/>
        <w:jc w:val="both"/>
        <w:rPr>
          <w:rFonts w:asciiTheme="minorHAnsi" w:hAnsiTheme="minorHAnsi"/>
        </w:rPr>
      </w:pPr>
      <w:r w:rsidRPr="00B443FB">
        <w:rPr>
          <w:rFonts w:asciiTheme="minorHAnsi" w:hAnsiTheme="minorHAnsi"/>
        </w:rPr>
        <w:t>(6) Refusing to reimburse excess cash on hand;</w:t>
      </w:r>
    </w:p>
    <w:p w14:paraId="7607FAB0" w14:textId="455089E9" w:rsidR="005163E4" w:rsidRPr="00B443FB" w:rsidRDefault="005163E4" w:rsidP="0027134A">
      <w:pPr>
        <w:spacing w:line="240" w:lineRule="auto"/>
        <w:jc w:val="both"/>
        <w:rPr>
          <w:rFonts w:asciiTheme="minorHAnsi" w:hAnsiTheme="minorHAnsi"/>
        </w:rPr>
      </w:pPr>
      <w:r w:rsidRPr="00B443FB">
        <w:rPr>
          <w:rFonts w:asciiTheme="minorHAnsi" w:hAnsiTheme="minorHAnsi"/>
        </w:rPr>
        <w:t>(7) Using Department fund</w:t>
      </w:r>
      <w:r w:rsidR="00694867">
        <w:rPr>
          <w:rFonts w:asciiTheme="minorHAnsi" w:hAnsiTheme="minorHAnsi"/>
        </w:rPr>
        <w:t>s</w:t>
      </w:r>
      <w:r w:rsidRPr="00B443FB">
        <w:rPr>
          <w:rFonts w:asciiTheme="minorHAnsi" w:hAnsiTheme="minorHAnsi"/>
        </w:rPr>
        <w:t xml:space="preserve"> to demolish a homeowner’s dwelling and then refusing to rebuild;</w:t>
      </w:r>
    </w:p>
    <w:p w14:paraId="2B293966" w14:textId="02E87922" w:rsidR="005163E4" w:rsidRPr="00B443FB" w:rsidRDefault="005163E4" w:rsidP="0027134A">
      <w:pPr>
        <w:spacing w:line="240" w:lineRule="auto"/>
        <w:jc w:val="both"/>
        <w:rPr>
          <w:rFonts w:asciiTheme="minorHAnsi" w:hAnsiTheme="minorHAnsi"/>
        </w:rPr>
      </w:pPr>
      <w:r w:rsidRPr="00B443FB">
        <w:rPr>
          <w:rFonts w:asciiTheme="minorHAnsi" w:hAnsiTheme="minorHAnsi"/>
        </w:rPr>
        <w:t>(8) Drawing down Department funds for an eligible use and then refusing to pay</w:t>
      </w:r>
      <w:r w:rsidR="00694867">
        <w:rPr>
          <w:rFonts w:asciiTheme="minorHAnsi" w:hAnsiTheme="minorHAnsi"/>
        </w:rPr>
        <w:t xml:space="preserve"> a </w:t>
      </w:r>
      <w:r w:rsidR="00BE3557">
        <w:rPr>
          <w:rFonts w:asciiTheme="minorHAnsi" w:hAnsiTheme="minorHAnsi"/>
        </w:rPr>
        <w:t xml:space="preserve">properly submitted request for payment </w:t>
      </w:r>
      <w:r w:rsidR="00472FFB">
        <w:rPr>
          <w:rFonts w:asciiTheme="minorHAnsi" w:hAnsiTheme="minorHAnsi"/>
        </w:rPr>
        <w:t>to a</w:t>
      </w:r>
      <w:r w:rsidR="00BE3557">
        <w:rPr>
          <w:rFonts w:asciiTheme="minorHAnsi" w:hAnsiTheme="minorHAnsi"/>
        </w:rPr>
        <w:t xml:space="preserve"> </w:t>
      </w:r>
      <w:proofErr w:type="spellStart"/>
      <w:r w:rsidR="00694867">
        <w:rPr>
          <w:rFonts w:asciiTheme="minorHAnsi" w:hAnsiTheme="minorHAnsi"/>
        </w:rPr>
        <w:t>subgrantee</w:t>
      </w:r>
      <w:proofErr w:type="spellEnd"/>
      <w:r w:rsidR="00694867">
        <w:rPr>
          <w:rFonts w:asciiTheme="minorHAnsi" w:hAnsiTheme="minorHAnsi"/>
        </w:rPr>
        <w:t xml:space="preserve"> </w:t>
      </w:r>
      <w:r w:rsidR="00472FFB">
        <w:rPr>
          <w:rFonts w:asciiTheme="minorHAnsi" w:hAnsiTheme="minorHAnsi"/>
        </w:rPr>
        <w:t xml:space="preserve">or </w:t>
      </w:r>
      <w:r w:rsidR="00472FFB" w:rsidRPr="00B443FB">
        <w:rPr>
          <w:rFonts w:asciiTheme="minorHAnsi" w:hAnsiTheme="minorHAnsi"/>
        </w:rPr>
        <w:t>vendor</w:t>
      </w:r>
      <w:r w:rsidRPr="00B443FB">
        <w:rPr>
          <w:rFonts w:asciiTheme="minorHAnsi" w:hAnsiTheme="minorHAnsi"/>
        </w:rPr>
        <w:t xml:space="preserve"> with the drawn down funds.</w:t>
      </w:r>
    </w:p>
    <w:p w14:paraId="03869C06" w14:textId="77777777" w:rsidR="005163E4" w:rsidRPr="00B443FB" w:rsidRDefault="005163E4" w:rsidP="0027134A">
      <w:pPr>
        <w:spacing w:line="240" w:lineRule="auto"/>
        <w:jc w:val="both"/>
        <w:rPr>
          <w:rFonts w:asciiTheme="minorHAnsi" w:hAnsiTheme="minorHAnsi"/>
        </w:rPr>
      </w:pPr>
      <w:r w:rsidRPr="00B443FB">
        <w:rPr>
          <w:rFonts w:asciiTheme="minorHAnsi" w:hAnsiTheme="minorHAnsi"/>
        </w:rPr>
        <w:t>(g) The referring division shall provide the Responsible Party with written notice of the referral to the Committee, setting forth the facts and circumstances that justify the referral for Debarment consideration.</w:t>
      </w:r>
    </w:p>
    <w:p w14:paraId="5E1C3C5D" w14:textId="473D1F2F" w:rsidR="005163E4" w:rsidRPr="00B443FB" w:rsidRDefault="005163E4" w:rsidP="0027134A">
      <w:pPr>
        <w:spacing w:line="240" w:lineRule="auto"/>
        <w:jc w:val="both"/>
        <w:rPr>
          <w:rFonts w:asciiTheme="minorHAnsi" w:hAnsiTheme="minorHAnsi"/>
        </w:rPr>
      </w:pPr>
      <w:r w:rsidRPr="00B443FB">
        <w:rPr>
          <w:rFonts w:asciiTheme="minorHAnsi" w:hAnsiTheme="minorHAnsi"/>
        </w:rPr>
        <w:t>(h) The Secretary shall then offer the Responsible Party the opportunity to attend an Informal Conference with the Committee to discuss resolution of the. In the event that the Debarment referral was the result of a violated agreed order or a determination that 50% or more of the Actively Monitored Developments in their portfolio have been referred to the Enforcement Committee, the above written notice of the referral to the Committee and the informal conference notice shall be combined into a single notice issued by the Secretary</w:t>
      </w:r>
    </w:p>
    <w:p w14:paraId="7C449FBC" w14:textId="159228A4" w:rsidR="005163E4" w:rsidRPr="00B443FB" w:rsidRDefault="005163E4" w:rsidP="0027134A">
      <w:pPr>
        <w:spacing w:line="240" w:lineRule="auto"/>
        <w:jc w:val="both"/>
        <w:rPr>
          <w:rFonts w:asciiTheme="minorHAnsi" w:hAnsiTheme="minorHAnsi"/>
        </w:rPr>
      </w:pPr>
      <w:r w:rsidRPr="00B443FB">
        <w:rPr>
          <w:rFonts w:asciiTheme="minorHAnsi" w:hAnsiTheme="minorHAnsi"/>
        </w:rPr>
        <w:t>(</w:t>
      </w:r>
      <w:proofErr w:type="spellStart"/>
      <w:r w:rsidRPr="00B443FB">
        <w:rPr>
          <w:rFonts w:asciiTheme="minorHAnsi" w:hAnsiTheme="minorHAnsi"/>
        </w:rPr>
        <w:t>i</w:t>
      </w:r>
      <w:proofErr w:type="spellEnd"/>
      <w:r w:rsidRPr="00B443FB">
        <w:rPr>
          <w:rFonts w:asciiTheme="minorHAnsi" w:hAnsiTheme="minorHAnsi"/>
        </w:rPr>
        <w:t xml:space="preserve">) A Debarment Informal Conference may result in the following, which shall be reported to the Executive Director: </w:t>
      </w:r>
    </w:p>
    <w:p w14:paraId="6FB0FB56" w14:textId="40BE2B5D"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(1) A determination that the Department did not have sufficient information and/or that the Responsible Party does not meet any of the criteria for Debarment; </w:t>
      </w:r>
    </w:p>
    <w:p w14:paraId="688A530B" w14:textId="0E693405" w:rsidR="005163E4" w:rsidRPr="00B443FB" w:rsidRDefault="005163E4" w:rsidP="0027134A">
      <w:pPr>
        <w:spacing w:line="240" w:lineRule="auto"/>
        <w:jc w:val="both"/>
        <w:rPr>
          <w:rFonts w:asciiTheme="minorHAnsi" w:hAnsiTheme="minorHAnsi"/>
        </w:rPr>
      </w:pPr>
      <w:r w:rsidRPr="00B443FB">
        <w:rPr>
          <w:rFonts w:asciiTheme="minorHAnsi" w:hAnsiTheme="minorHAnsi"/>
        </w:rPr>
        <w:t>(2) An agreed Debarment</w:t>
      </w:r>
      <w:r w:rsidR="00472FFB" w:rsidRPr="00B443FB">
        <w:rPr>
          <w:rFonts w:asciiTheme="minorHAnsi" w:hAnsiTheme="minorHAnsi"/>
        </w:rPr>
        <w:t>, with</w:t>
      </w:r>
      <w:r w:rsidRPr="00B443FB">
        <w:rPr>
          <w:rFonts w:asciiTheme="minorHAnsi" w:hAnsiTheme="minorHAnsi"/>
        </w:rPr>
        <w:t xml:space="preserve"> a proposed agreed order to be prepared and presented to the Board for approval; </w:t>
      </w:r>
    </w:p>
    <w:p w14:paraId="1DA0B2FA" w14:textId="7DCBB1E4" w:rsidR="005163E4" w:rsidRPr="00B443FB" w:rsidRDefault="005163E4" w:rsidP="0027134A">
      <w:pPr>
        <w:spacing w:line="240" w:lineRule="auto"/>
        <w:jc w:val="both"/>
        <w:rPr>
          <w:rFonts w:asciiTheme="minorHAnsi" w:hAnsiTheme="minorHAnsi"/>
        </w:rPr>
      </w:pPr>
      <w:r w:rsidRPr="00B443FB">
        <w:rPr>
          <w:rFonts w:asciiTheme="minorHAnsi" w:hAnsiTheme="minorHAnsi"/>
        </w:rPr>
        <w:t>(3) A recommendation by the Committee to the Executive Director for Debarment;</w:t>
      </w:r>
    </w:p>
    <w:p w14:paraId="38FEDC77" w14:textId="0B190910"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(4) A request for further information, to be considered during a future meeting; or, </w:t>
      </w:r>
    </w:p>
    <w:p w14:paraId="245C8B30" w14:textId="5A7D6ABA"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(5) If Debarment is not mandatory, an agreement to dismiss the matter with no further action, an agreement to dismiss the matter with corrective action being taken, or any other action as the Committee deems appropriate, which will then be reported to the Executive Director. </w:t>
      </w:r>
    </w:p>
    <w:p w14:paraId="0D546EA2" w14:textId="28688368"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(j) The Committee's recommendation to the Executive Director regarding Debarment shall include a recommended period of Debarment. Recommended periods of Debarment will be based on material factors such as repeated occurrences, seriousness of underlying issues, presence or absence of corrective action taken or planned, including corrective action to install new responsible persons and ensure they are qualified and properly trained. Recommended periods of Debarment if based upon HUD Debarment, shall be for the period of the remaining HUD Debarment; or, if based upon criminal conviction, shall be up to ten (10) years or until fulfillment of all conditions of incarceration and/or probation, whichever is greater. </w:t>
      </w:r>
    </w:p>
    <w:p w14:paraId="7B24E72F" w14:textId="1E5059F8"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(k) The Executive Director shall accept, reject, or modify the Debarment recommendation by the Committee and shall provide written notice to the Responsible Party of the determination, and an explanation of the determination if different than the Committee's recommendation, including the period of Debarment, if any. The Responsible Party may appeal the Debarment determination in writing to the Board as described in §1.7 of this Title. </w:t>
      </w:r>
    </w:p>
    <w:p w14:paraId="51C5E7F7" w14:textId="4A93D4A5"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(l) The Debarment recommendation will be brought to the next Board meeting for which the matter can be properly posted. The Board reserves discretion to impose longer or shorter Debarment periods than </w:t>
      </w:r>
      <w:r w:rsidRPr="00B443FB">
        <w:rPr>
          <w:rFonts w:asciiTheme="minorHAnsi" w:hAnsiTheme="minorHAnsi"/>
        </w:rPr>
        <w:lastRenderedPageBreak/>
        <w:t xml:space="preserve">those recommended by staff based on its finding that such longer or shorter periods are appropriate when considering all factors and/or for the purposes of equity or other good cause. An action on a proposed Debarment of an Eligible Entity under the CSBG Act will not become final until and unless proceedings to terminate Eligible Entity status have occurred, resulting in such termination and all rights of appeal or review have run or Eligible Entity status has been voluntarily relinquished. </w:t>
      </w:r>
    </w:p>
    <w:p w14:paraId="3060CC2B" w14:textId="245192C3" w:rsidR="005163E4" w:rsidRPr="00B443FB" w:rsidRDefault="005163E4" w:rsidP="0027134A">
      <w:pPr>
        <w:spacing w:line="240" w:lineRule="auto"/>
        <w:jc w:val="both"/>
        <w:rPr>
          <w:rFonts w:asciiTheme="minorHAnsi" w:hAnsiTheme="minorHAnsi"/>
        </w:rPr>
      </w:pPr>
      <w:r w:rsidRPr="00B443FB">
        <w:rPr>
          <w:rFonts w:asciiTheme="minorHAnsi" w:hAnsiTheme="minorHAnsi"/>
        </w:rPr>
        <w:t>(m)Until the Responsible Party’s Debarment referral is fully resolved, the Responsible Party may not participate in new Department financing and assistance opportunities.</w:t>
      </w:r>
    </w:p>
    <w:p w14:paraId="0C855482" w14:textId="4CB50D1D" w:rsidR="005163E4" w:rsidRPr="00B443FB" w:rsidRDefault="005163E4" w:rsidP="0027134A">
      <w:pPr>
        <w:spacing w:line="240" w:lineRule="auto"/>
        <w:jc w:val="both"/>
        <w:rPr>
          <w:rFonts w:asciiTheme="minorHAnsi" w:hAnsiTheme="minorHAnsi"/>
        </w:rPr>
      </w:pPr>
      <w:r w:rsidRPr="00B443FB">
        <w:rPr>
          <w:rFonts w:asciiTheme="minorHAnsi" w:hAnsiTheme="minorHAnsi"/>
        </w:rPr>
        <w:t>(n) Any person who has been debarred is prohibited from participation as set forth in the final order of Debarment for the term of their Debarment. Unless specifically stated in the order of Debarment, Debarment does not relieve a Responsible Party from its current obligations, or prohibit it from continuing its participation in any existing engagements funded through the Department, nor limit its responsibilities and duties thereunder. The Board will not consider modifying the terms of the Debarment after the issuance of a final order of Debarment.</w:t>
      </w:r>
    </w:p>
    <w:p w14:paraId="7207AC41" w14:textId="16022DFD" w:rsidR="005163E4" w:rsidRPr="00B443FB" w:rsidRDefault="005163E4" w:rsidP="0027134A">
      <w:pPr>
        <w:spacing w:line="240" w:lineRule="auto"/>
        <w:jc w:val="both"/>
        <w:rPr>
          <w:rFonts w:asciiTheme="minorHAnsi" w:hAnsiTheme="minorHAnsi"/>
        </w:rPr>
      </w:pPr>
      <w:r w:rsidRPr="00B443FB">
        <w:rPr>
          <w:rFonts w:asciiTheme="minorHAnsi" w:hAnsiTheme="minorHAnsi"/>
        </w:rPr>
        <w:t xml:space="preserve">(o) If an Eligible Entity under the CSBG Act meets any of the criteria for </w:t>
      </w:r>
      <w:r w:rsidR="00694867">
        <w:rPr>
          <w:rFonts w:asciiTheme="minorHAnsi" w:hAnsiTheme="minorHAnsi"/>
        </w:rPr>
        <w:t>D</w:t>
      </w:r>
      <w:r w:rsidRPr="00B443FB">
        <w:rPr>
          <w:rFonts w:asciiTheme="minorHAnsi" w:hAnsiTheme="minorHAnsi"/>
        </w:rPr>
        <w:t xml:space="preserve">ebarment in this rule, the Department may recommend the Eligible Entity for </w:t>
      </w:r>
      <w:r w:rsidR="00694867">
        <w:rPr>
          <w:rFonts w:asciiTheme="minorHAnsi" w:hAnsiTheme="minorHAnsi"/>
        </w:rPr>
        <w:t>D</w:t>
      </w:r>
      <w:r w:rsidRPr="00B443FB">
        <w:rPr>
          <w:rFonts w:asciiTheme="minorHAnsi" w:hAnsiTheme="minorHAnsi"/>
        </w:rPr>
        <w:t>ebarment. However, that referral or recommendation shall not proceed until the termination of the Eligible Entity’s status under the CSBG Act has concluded</w:t>
      </w:r>
      <w:r w:rsidR="00BD52A9">
        <w:rPr>
          <w:rFonts w:asciiTheme="minorHAnsi" w:hAnsiTheme="minorHAnsi"/>
        </w:rPr>
        <w:t>,</w:t>
      </w:r>
      <w:r w:rsidRPr="00B443FB">
        <w:rPr>
          <w:rFonts w:asciiTheme="minorHAnsi" w:hAnsiTheme="minorHAnsi"/>
        </w:rPr>
        <w:t xml:space="preserve"> and no right of appeal or review remains.</w:t>
      </w:r>
    </w:p>
    <w:p w14:paraId="209B4CC9" w14:textId="18282A17" w:rsidR="00846203" w:rsidRPr="00B443FB" w:rsidRDefault="00846203" w:rsidP="0027134A">
      <w:pPr>
        <w:spacing w:line="240" w:lineRule="auto"/>
        <w:jc w:val="both"/>
        <w:rPr>
          <w:rFonts w:asciiTheme="minorHAnsi" w:hAnsiTheme="minorHAnsi"/>
          <w:bCs/>
        </w:rPr>
      </w:pPr>
      <w:r w:rsidRPr="00B443FB">
        <w:rPr>
          <w:rFonts w:asciiTheme="minorHAnsi" w:hAnsiTheme="minorHAnsi"/>
          <w:bCs/>
        </w:rPr>
        <w:br w:type="page"/>
      </w:r>
    </w:p>
    <w:p w14:paraId="0D67CFC9" w14:textId="77777777" w:rsidR="00846203" w:rsidRPr="00B443FB" w:rsidRDefault="00846203" w:rsidP="0027134A">
      <w:pPr>
        <w:autoSpaceDE w:val="0"/>
        <w:autoSpaceDN w:val="0"/>
        <w:adjustRightInd w:val="0"/>
        <w:spacing w:line="240" w:lineRule="auto"/>
        <w:jc w:val="both"/>
        <w:rPr>
          <w:rFonts w:asciiTheme="minorHAnsi" w:hAnsiTheme="minorHAnsi"/>
          <w:b/>
          <w:bCs/>
        </w:rPr>
      </w:pPr>
      <w:r w:rsidRPr="00B443FB">
        <w:rPr>
          <w:rFonts w:asciiTheme="minorHAnsi" w:hAnsiTheme="minorHAnsi" w:cs="Garamond-Bold"/>
          <w:b/>
          <w:bCs/>
        </w:rPr>
        <w:lastRenderedPageBreak/>
        <w:t xml:space="preserve">Attachment </w:t>
      </w:r>
      <w:r w:rsidRPr="00B443FB">
        <w:rPr>
          <w:rFonts w:asciiTheme="minorHAnsi" w:hAnsiTheme="minorHAnsi" w:cs="Garamond-Bold"/>
          <w:bCs/>
          <w:highlight w:val="lightGray"/>
        </w:rPr>
        <w:t>2</w:t>
      </w:r>
      <w:r w:rsidRPr="00B443FB">
        <w:rPr>
          <w:rFonts w:asciiTheme="minorHAnsi" w:hAnsiTheme="minorHAnsi"/>
          <w:b/>
          <w:bCs/>
        </w:rPr>
        <w:t>:</w:t>
      </w:r>
      <w:r w:rsidRPr="00B443FB">
        <w:rPr>
          <w:rFonts w:asciiTheme="minorHAnsi" w:hAnsiTheme="minorHAnsi" w:cs="Garamond-Bold"/>
          <w:b/>
          <w:bCs/>
        </w:rPr>
        <w:t xml:space="preserve"> Preamble, including required analysis, for proposed repeal of 10 </w:t>
      </w:r>
      <w:r w:rsidRPr="00B443FB">
        <w:rPr>
          <w:rFonts w:asciiTheme="minorHAnsi" w:hAnsiTheme="minorHAnsi"/>
          <w:b/>
        </w:rPr>
        <w:t xml:space="preserve">TAC Chapter 2 Enforcement, Subchapter </w:t>
      </w:r>
      <w:proofErr w:type="gramStart"/>
      <w:r w:rsidRPr="00B443FB">
        <w:rPr>
          <w:rFonts w:asciiTheme="minorHAnsi" w:hAnsiTheme="minorHAnsi"/>
          <w:b/>
        </w:rPr>
        <w:t>A</w:t>
      </w:r>
      <w:proofErr w:type="gramEnd"/>
      <w:r w:rsidRPr="00B443FB">
        <w:rPr>
          <w:rFonts w:asciiTheme="minorHAnsi" w:hAnsiTheme="minorHAnsi"/>
          <w:b/>
        </w:rPr>
        <w:t xml:space="preserve"> General, Subchapter C Administrative Penalties and Subchapter D Debarment </w:t>
      </w:r>
    </w:p>
    <w:p w14:paraId="629B0F3C" w14:textId="77777777"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cs="Garamond"/>
        </w:rPr>
        <w:t xml:space="preserve">The Texas Department of Housing and Community Affairs (the Department) proposes the repeal of </w:t>
      </w:r>
      <w:r w:rsidRPr="00B443FB">
        <w:rPr>
          <w:rFonts w:asciiTheme="minorHAnsi" w:hAnsiTheme="minorHAnsi" w:cs="Garamond-Bold"/>
          <w:bCs/>
        </w:rPr>
        <w:t xml:space="preserve">10 </w:t>
      </w:r>
      <w:r w:rsidRPr="00B443FB">
        <w:rPr>
          <w:rFonts w:asciiTheme="minorHAnsi" w:hAnsiTheme="minorHAnsi"/>
        </w:rPr>
        <w:t xml:space="preserve">TAC Chapter 2 Enforcement, Subchapter </w:t>
      </w:r>
      <w:proofErr w:type="gramStart"/>
      <w:r w:rsidRPr="00B443FB">
        <w:rPr>
          <w:rFonts w:asciiTheme="minorHAnsi" w:hAnsiTheme="minorHAnsi"/>
        </w:rPr>
        <w:t>A</w:t>
      </w:r>
      <w:proofErr w:type="gramEnd"/>
      <w:r w:rsidRPr="00B443FB">
        <w:rPr>
          <w:rFonts w:asciiTheme="minorHAnsi" w:hAnsiTheme="minorHAnsi"/>
        </w:rPr>
        <w:t xml:space="preserve"> General, Subchapter C Administrative Penalties and Subchapter D Debarment.</w:t>
      </w:r>
      <w:r w:rsidRPr="00B443FB">
        <w:rPr>
          <w:rFonts w:asciiTheme="minorHAnsi" w:hAnsiTheme="minorHAnsi"/>
          <w:bCs/>
        </w:rPr>
        <w:t xml:space="preserve"> </w:t>
      </w:r>
      <w:r w:rsidRPr="00B443FB">
        <w:rPr>
          <w:rFonts w:asciiTheme="minorHAnsi" w:hAnsiTheme="minorHAnsi" w:cs="Garamond"/>
        </w:rPr>
        <w:t xml:space="preserve">The purpose of the proposed repeal is to eliminate an outdated rule while adopting a new updated rule under separate action. </w:t>
      </w:r>
    </w:p>
    <w:p w14:paraId="71A459FE" w14:textId="77777777"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bCs/>
        </w:rPr>
        <w:t xml:space="preserve">The Department has analyzed this proposed rulemaking and the analysis is described below for each category </w:t>
      </w:r>
      <w:r w:rsidRPr="00B443FB">
        <w:rPr>
          <w:rFonts w:asciiTheme="minorHAnsi" w:hAnsiTheme="minorHAnsi" w:cs="Garamond"/>
        </w:rPr>
        <w:t>of analysis performed.</w:t>
      </w:r>
    </w:p>
    <w:p w14:paraId="491D6660" w14:textId="77777777"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cs="Garamond"/>
        </w:rPr>
        <w:t xml:space="preserve">a. GOVERNMENT GROWTH IMPACT STATEMENT REQUIRED BY TEX. GOV’T CODE §2001.0221. </w:t>
      </w:r>
    </w:p>
    <w:p w14:paraId="07ED4985" w14:textId="79720388"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cs="Garamond"/>
        </w:rPr>
        <w:t xml:space="preserve">1. Mr. </w:t>
      </w:r>
      <w:r w:rsidR="009D578A">
        <w:rPr>
          <w:rFonts w:asciiTheme="minorHAnsi" w:hAnsiTheme="minorHAnsi" w:cs="Garamond"/>
        </w:rPr>
        <w:t xml:space="preserve">Bobby </w:t>
      </w:r>
      <w:r w:rsidRPr="00B443FB">
        <w:rPr>
          <w:rFonts w:asciiTheme="minorHAnsi" w:hAnsiTheme="minorHAnsi" w:cs="Garamond"/>
        </w:rPr>
        <w:t xml:space="preserve">Wilkinson has determined that, for the first five years the proposed repeal would be in effect, the proposed repeal does not create or eliminate a government program, but relates to the repeal, and simultaneous </w:t>
      </w:r>
      <w:proofErr w:type="spellStart"/>
      <w:r w:rsidRPr="00B443FB">
        <w:rPr>
          <w:rFonts w:asciiTheme="minorHAnsi" w:hAnsiTheme="minorHAnsi" w:cs="Garamond"/>
        </w:rPr>
        <w:t>readoption</w:t>
      </w:r>
      <w:proofErr w:type="spellEnd"/>
      <w:r w:rsidRPr="00B443FB">
        <w:rPr>
          <w:rFonts w:asciiTheme="minorHAnsi" w:hAnsiTheme="minorHAnsi" w:cs="Garamond"/>
        </w:rPr>
        <w:t>, making changes to the Department’s Enforcement activities.</w:t>
      </w:r>
    </w:p>
    <w:p w14:paraId="352A2239" w14:textId="77777777"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cs="Garamond"/>
        </w:rPr>
        <w:t>2. The proposed repeal does not require a change in work that would require the creation of new employee positions, nor is the proposed repeal significant enough to reduce work load to a degree that any existing employee positions are eliminated.</w:t>
      </w:r>
    </w:p>
    <w:p w14:paraId="2C6FB34F" w14:textId="77777777"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cs="Garamond"/>
        </w:rPr>
        <w:t>3. The proposed repeal does not require additional future legislative appropriations.</w:t>
      </w:r>
    </w:p>
    <w:p w14:paraId="543EA5EE" w14:textId="77777777"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cs="Garamond"/>
        </w:rPr>
        <w:t xml:space="preserve">4. The proposed repeal does not result in an increase in fees paid to the Department nor in a decrease in fees paid to the Department. </w:t>
      </w:r>
    </w:p>
    <w:p w14:paraId="02707933" w14:textId="77777777"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cs="Garamond"/>
        </w:rPr>
        <w:t>5. The proposed repeal is not creating a new regulation, except that it is being replaced by a new rule simultaneously to provide for revisions.</w:t>
      </w:r>
    </w:p>
    <w:p w14:paraId="2FE655EC" w14:textId="77777777"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cs="Garamond"/>
        </w:rPr>
        <w:t xml:space="preserve">6. The proposed action will repeal an existing regulation, but is associated with a simultaneous </w:t>
      </w:r>
      <w:proofErr w:type="spellStart"/>
      <w:r w:rsidRPr="00B443FB">
        <w:rPr>
          <w:rFonts w:asciiTheme="minorHAnsi" w:hAnsiTheme="minorHAnsi" w:cs="Garamond"/>
        </w:rPr>
        <w:t>readoption</w:t>
      </w:r>
      <w:proofErr w:type="spellEnd"/>
      <w:r w:rsidRPr="00B443FB">
        <w:rPr>
          <w:rFonts w:asciiTheme="minorHAnsi" w:hAnsiTheme="minorHAnsi" w:cs="Garamond"/>
        </w:rPr>
        <w:t xml:space="preserve"> making changes to an existing activity, the Department’s Enforcement activities. </w:t>
      </w:r>
    </w:p>
    <w:p w14:paraId="327B01A6" w14:textId="72640CD0"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cs="Garamond"/>
        </w:rPr>
        <w:t>7. The proposed repeal will not increase or decrease the number of individuals subject to the rule’s applicability.</w:t>
      </w:r>
    </w:p>
    <w:p w14:paraId="33FB0FA7" w14:textId="7FA01C18"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cs="Garamond"/>
        </w:rPr>
        <w:t xml:space="preserve">8. The proposed repeal will not negatively or positively affect this state’s economy. </w:t>
      </w:r>
    </w:p>
    <w:p w14:paraId="4194450C" w14:textId="77777777" w:rsidR="00846203" w:rsidRPr="00B443FB" w:rsidRDefault="00846203" w:rsidP="0027134A">
      <w:pPr>
        <w:autoSpaceDE w:val="0"/>
        <w:autoSpaceDN w:val="0"/>
        <w:adjustRightInd w:val="0"/>
        <w:spacing w:line="240" w:lineRule="auto"/>
        <w:jc w:val="both"/>
        <w:rPr>
          <w:rFonts w:asciiTheme="minorHAnsi" w:hAnsiTheme="minorHAnsi"/>
          <w:bCs/>
        </w:rPr>
      </w:pPr>
      <w:r w:rsidRPr="00B443FB">
        <w:rPr>
          <w:rFonts w:asciiTheme="minorHAnsi" w:hAnsiTheme="minorHAnsi"/>
          <w:bCs/>
        </w:rPr>
        <w:t xml:space="preserve">b. ADVERSE ECONOMIC IMPACT ON SMALL OR MICRO-BUSINESSES OR RURAL COMMUNITIES AND REGULATORY FLEXIBILITY </w:t>
      </w:r>
      <w:r w:rsidRPr="00B443FB">
        <w:rPr>
          <w:rFonts w:asciiTheme="minorHAnsi" w:hAnsiTheme="minorHAnsi" w:cs="Garamond"/>
        </w:rPr>
        <w:t xml:space="preserve">REQUIRED BY </w:t>
      </w:r>
      <w:r w:rsidRPr="00B443FB">
        <w:rPr>
          <w:rFonts w:asciiTheme="minorHAnsi" w:hAnsiTheme="minorHAnsi"/>
          <w:bCs/>
        </w:rPr>
        <w:t xml:space="preserve">TEX. GOV’T CODE §2006.002. </w:t>
      </w:r>
    </w:p>
    <w:p w14:paraId="7029ACDB" w14:textId="77777777" w:rsidR="00846203" w:rsidRPr="00B443FB" w:rsidRDefault="00846203" w:rsidP="0027134A">
      <w:pPr>
        <w:autoSpaceDE w:val="0"/>
        <w:autoSpaceDN w:val="0"/>
        <w:adjustRightInd w:val="0"/>
        <w:spacing w:line="240" w:lineRule="auto"/>
        <w:jc w:val="both"/>
        <w:rPr>
          <w:rFonts w:asciiTheme="minorHAnsi" w:hAnsiTheme="minorHAnsi"/>
          <w:bCs/>
        </w:rPr>
      </w:pPr>
      <w:r w:rsidRPr="00B443FB">
        <w:rPr>
          <w:rFonts w:asciiTheme="minorHAnsi" w:hAnsiTheme="minorHAnsi"/>
          <w:bCs/>
        </w:rPr>
        <w:t>The Department has evaluated this proposed repeal and determined that the proposed repeal will not create an economic effect on small or micro-businesses or rural communities.</w:t>
      </w:r>
    </w:p>
    <w:p w14:paraId="09D9430D" w14:textId="2ADA285D" w:rsidR="00846203" w:rsidRPr="00B443FB" w:rsidRDefault="00846203" w:rsidP="0027134A">
      <w:pPr>
        <w:autoSpaceDE w:val="0"/>
        <w:autoSpaceDN w:val="0"/>
        <w:adjustRightInd w:val="0"/>
        <w:spacing w:line="240" w:lineRule="auto"/>
        <w:jc w:val="both"/>
        <w:rPr>
          <w:rFonts w:asciiTheme="minorHAnsi" w:hAnsiTheme="minorHAnsi"/>
          <w:bCs/>
        </w:rPr>
      </w:pPr>
      <w:r w:rsidRPr="00B443FB">
        <w:rPr>
          <w:rFonts w:asciiTheme="minorHAnsi" w:hAnsiTheme="minorHAnsi"/>
          <w:bCs/>
        </w:rPr>
        <w:t xml:space="preserve">c. TAKINGS IMPACT ASSESSMENT </w:t>
      </w:r>
      <w:r w:rsidRPr="00B443FB">
        <w:rPr>
          <w:rFonts w:asciiTheme="minorHAnsi" w:hAnsiTheme="minorHAnsi" w:cs="Garamond"/>
        </w:rPr>
        <w:t xml:space="preserve">REQUIRED BY </w:t>
      </w:r>
      <w:r w:rsidRPr="00B443FB">
        <w:rPr>
          <w:rFonts w:asciiTheme="minorHAnsi" w:hAnsiTheme="minorHAnsi"/>
          <w:bCs/>
        </w:rPr>
        <w:t xml:space="preserve">TEX. GOV’T CODE §2007.043. The proposed repeal does not contemplate or authorize a taking by the Department; therefore, no Takings Impact Assessment is required. </w:t>
      </w:r>
    </w:p>
    <w:p w14:paraId="6EEDF601" w14:textId="77777777" w:rsidR="00846203" w:rsidRPr="00B443FB" w:rsidRDefault="00846203" w:rsidP="0027134A">
      <w:pPr>
        <w:autoSpaceDE w:val="0"/>
        <w:autoSpaceDN w:val="0"/>
        <w:adjustRightInd w:val="0"/>
        <w:spacing w:line="240" w:lineRule="auto"/>
        <w:jc w:val="both"/>
        <w:rPr>
          <w:rFonts w:asciiTheme="minorHAnsi" w:hAnsiTheme="minorHAnsi"/>
          <w:bCs/>
        </w:rPr>
      </w:pPr>
      <w:r w:rsidRPr="00B443FB">
        <w:rPr>
          <w:rFonts w:asciiTheme="minorHAnsi" w:hAnsiTheme="minorHAnsi"/>
          <w:bCs/>
        </w:rPr>
        <w:t>d. LOCAL EMPLOYMENT IMPACT STATEMENTS REQUIRED BY TEX. GOV’T CODE §2001.024(a</w:t>
      </w:r>
      <w:proofErr w:type="gramStart"/>
      <w:r w:rsidRPr="00B443FB">
        <w:rPr>
          <w:rFonts w:asciiTheme="minorHAnsi" w:hAnsiTheme="minorHAnsi"/>
          <w:bCs/>
        </w:rPr>
        <w:t>)(</w:t>
      </w:r>
      <w:proofErr w:type="gramEnd"/>
      <w:r w:rsidRPr="00B443FB">
        <w:rPr>
          <w:rFonts w:asciiTheme="minorHAnsi" w:hAnsiTheme="minorHAnsi"/>
          <w:bCs/>
        </w:rPr>
        <w:t>6).</w:t>
      </w:r>
    </w:p>
    <w:p w14:paraId="3A036B9D" w14:textId="77777777" w:rsidR="00846203" w:rsidRPr="00B443FB" w:rsidRDefault="00846203" w:rsidP="0027134A">
      <w:pPr>
        <w:autoSpaceDE w:val="0"/>
        <w:autoSpaceDN w:val="0"/>
        <w:adjustRightInd w:val="0"/>
        <w:spacing w:line="240" w:lineRule="auto"/>
        <w:jc w:val="both"/>
        <w:rPr>
          <w:rFonts w:asciiTheme="minorHAnsi" w:hAnsiTheme="minorHAnsi"/>
          <w:bCs/>
        </w:rPr>
      </w:pPr>
      <w:r w:rsidRPr="00B443FB">
        <w:rPr>
          <w:rFonts w:asciiTheme="minorHAnsi" w:hAnsiTheme="minorHAnsi" w:cs="Garamond"/>
        </w:rPr>
        <w:t xml:space="preserve">The Department has evaluated the proposed repeal as to its possible effects on local economies and has determined that for the first five years the proposed repeal would be in effect </w:t>
      </w:r>
      <w:r w:rsidRPr="00B443FB">
        <w:rPr>
          <w:rFonts w:asciiTheme="minorHAnsi" w:hAnsiTheme="minorHAnsi"/>
          <w:bCs/>
        </w:rPr>
        <w:t xml:space="preserve">there would be no economic effect on local employment; therefore, no local employment impact statement is required to be prepared for the rule. </w:t>
      </w:r>
    </w:p>
    <w:p w14:paraId="30444B90" w14:textId="1B5E73AD"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bCs/>
        </w:rPr>
        <w:t>e. PUBLIC BENEFIT/COST NOTE REQUIRED BY TEX. GOV’T CODE §2001.024(a</w:t>
      </w:r>
      <w:proofErr w:type="gramStart"/>
      <w:r w:rsidRPr="00B443FB">
        <w:rPr>
          <w:rFonts w:asciiTheme="minorHAnsi" w:hAnsiTheme="minorHAnsi"/>
          <w:bCs/>
        </w:rPr>
        <w:t>)(</w:t>
      </w:r>
      <w:proofErr w:type="gramEnd"/>
      <w:r w:rsidRPr="00B443FB">
        <w:rPr>
          <w:rFonts w:asciiTheme="minorHAnsi" w:hAnsiTheme="minorHAnsi"/>
          <w:bCs/>
        </w:rPr>
        <w:t xml:space="preserve">5). </w:t>
      </w:r>
      <w:r w:rsidR="009D578A">
        <w:rPr>
          <w:rFonts w:asciiTheme="minorHAnsi" w:hAnsiTheme="minorHAnsi"/>
          <w:bCs/>
        </w:rPr>
        <w:t>Mr. Bobby</w:t>
      </w:r>
      <w:r w:rsidR="009D578A" w:rsidRPr="00B443FB">
        <w:rPr>
          <w:rFonts w:asciiTheme="minorHAnsi" w:hAnsiTheme="minorHAnsi"/>
          <w:bCs/>
        </w:rPr>
        <w:t xml:space="preserve"> </w:t>
      </w:r>
      <w:r w:rsidRPr="00B443FB">
        <w:rPr>
          <w:rFonts w:asciiTheme="minorHAnsi" w:hAnsiTheme="minorHAnsi"/>
          <w:bCs/>
        </w:rPr>
        <w:t>Wilkinson, Executive Director,</w:t>
      </w:r>
      <w:r w:rsidRPr="00B443FB">
        <w:rPr>
          <w:rFonts w:asciiTheme="minorHAnsi" w:hAnsiTheme="minorHAnsi" w:cs="Garamond"/>
        </w:rPr>
        <w:t xml:space="preserve"> has determined that, for each year of the first five years the proposed repeal is in effect, the public benefit anticipated as a result of the repealed section would be an updated and more germane rule. There will not be economic costs to individuals required to comply with the repealed section.</w:t>
      </w:r>
    </w:p>
    <w:p w14:paraId="4713B1DF" w14:textId="77777777" w:rsidR="00846203" w:rsidRPr="00B443FB" w:rsidRDefault="00846203" w:rsidP="0027134A">
      <w:pPr>
        <w:autoSpaceDE w:val="0"/>
        <w:autoSpaceDN w:val="0"/>
        <w:adjustRightInd w:val="0"/>
        <w:spacing w:line="240" w:lineRule="auto"/>
        <w:jc w:val="both"/>
        <w:rPr>
          <w:rFonts w:asciiTheme="minorHAnsi" w:hAnsiTheme="minorHAnsi"/>
          <w:bCs/>
        </w:rPr>
      </w:pPr>
      <w:r w:rsidRPr="00B443FB">
        <w:rPr>
          <w:rFonts w:asciiTheme="minorHAnsi" w:hAnsiTheme="minorHAnsi"/>
          <w:bCs/>
        </w:rPr>
        <w:t>f. FISCAL NOTE REQUIRED BY TEX. GOV’T CODE §2001.024(a</w:t>
      </w:r>
      <w:proofErr w:type="gramStart"/>
      <w:r w:rsidRPr="00B443FB">
        <w:rPr>
          <w:rFonts w:asciiTheme="minorHAnsi" w:hAnsiTheme="minorHAnsi"/>
          <w:bCs/>
        </w:rPr>
        <w:t>)(</w:t>
      </w:r>
      <w:proofErr w:type="gramEnd"/>
      <w:r w:rsidRPr="00B443FB">
        <w:rPr>
          <w:rFonts w:asciiTheme="minorHAnsi" w:hAnsiTheme="minorHAnsi"/>
          <w:bCs/>
        </w:rPr>
        <w:t xml:space="preserve">4). </w:t>
      </w:r>
      <w:r w:rsidRPr="00B443FB">
        <w:rPr>
          <w:rFonts w:asciiTheme="minorHAnsi" w:hAnsiTheme="minorHAnsi" w:cs="Garamond"/>
        </w:rPr>
        <w:t>Mr. Wilkinson, also</w:t>
      </w:r>
      <w:r w:rsidRPr="00B443FB">
        <w:rPr>
          <w:rFonts w:asciiTheme="minorHAnsi" w:hAnsiTheme="minorHAnsi"/>
          <w:bCs/>
        </w:rPr>
        <w:t xml:space="preserve"> has determined that for each year of the first five years the proposed repeal is in effect, enforcing or administering the repeal does not have any foreseeable implications related to costs or revenues of the state or local governments. </w:t>
      </w:r>
    </w:p>
    <w:p w14:paraId="599B9AB1" w14:textId="77777777"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cs="Garamond"/>
        </w:rPr>
        <w:lastRenderedPageBreak/>
        <w:t>REQUEST FOR PUBLIC COMMENT. The public comment period will be held November 20, 2020, to December 21, 2020, to receive input on the proposed repealed section. Written comments may be submitted to the Texas Department of Housing and Community Affairs, Attn: Wendy Quackenbush, Rule Comments, P.O. Box 13941, Austin, Texas 78711-3941 or email wendy.quackenbush@tdhca.state.tx.us. ALL COMMENTS MUST BE RECEIVED BY 5:00 p.m., Austin local time, DECEMBER 21, 2020.</w:t>
      </w:r>
    </w:p>
    <w:p w14:paraId="418A5A9B" w14:textId="7779F2E5" w:rsidR="00846203" w:rsidRPr="00B443FB" w:rsidRDefault="00846203" w:rsidP="0027134A">
      <w:pPr>
        <w:autoSpaceDE w:val="0"/>
        <w:autoSpaceDN w:val="0"/>
        <w:adjustRightInd w:val="0"/>
        <w:spacing w:line="240" w:lineRule="auto"/>
        <w:jc w:val="both"/>
        <w:rPr>
          <w:rFonts w:asciiTheme="minorHAnsi" w:hAnsiTheme="minorHAnsi" w:cs="Garamond"/>
        </w:rPr>
      </w:pPr>
      <w:r w:rsidRPr="00B443FB">
        <w:rPr>
          <w:rFonts w:asciiTheme="minorHAnsi" w:hAnsiTheme="minorHAnsi" w:cs="Garamond"/>
        </w:rPr>
        <w:t>STATUTORY AUTHORITY. The proposed repeal is made pursuant to Tex. Gov't Code §2306.053, which authorizes the Department to adopt rules. Except as described herein the proposed repealed sections affect no other code, article, or statute.</w:t>
      </w:r>
    </w:p>
    <w:p w14:paraId="6511BA6D" w14:textId="77777777" w:rsidR="002A209E" w:rsidRPr="00B443FB" w:rsidRDefault="002A209E" w:rsidP="0027134A">
      <w:pPr>
        <w:autoSpaceDE w:val="0"/>
        <w:autoSpaceDN w:val="0"/>
        <w:adjustRightInd w:val="0"/>
        <w:spacing w:line="240" w:lineRule="auto"/>
        <w:jc w:val="both"/>
        <w:rPr>
          <w:rFonts w:asciiTheme="minorHAnsi" w:hAnsiTheme="minorHAnsi" w:cs="Garamond"/>
        </w:rPr>
      </w:pPr>
    </w:p>
    <w:p w14:paraId="73C2D222" w14:textId="77777777" w:rsidR="00846203" w:rsidRPr="00B443FB" w:rsidRDefault="00846203" w:rsidP="0027134A">
      <w:pPr>
        <w:spacing w:line="240" w:lineRule="auto"/>
        <w:jc w:val="both"/>
        <w:rPr>
          <w:rFonts w:asciiTheme="minorHAnsi" w:hAnsiTheme="minorHAnsi"/>
          <w:b/>
        </w:rPr>
      </w:pPr>
      <w:r w:rsidRPr="00B443FB">
        <w:rPr>
          <w:rFonts w:asciiTheme="minorHAnsi" w:hAnsiTheme="minorHAnsi" w:cs="Garamond-Bold"/>
          <w:b/>
          <w:bCs/>
        </w:rPr>
        <w:t xml:space="preserve">10 </w:t>
      </w:r>
      <w:r w:rsidRPr="00B443FB">
        <w:rPr>
          <w:rFonts w:asciiTheme="minorHAnsi" w:hAnsiTheme="minorHAnsi"/>
          <w:b/>
        </w:rPr>
        <w:t xml:space="preserve">TAC </w:t>
      </w:r>
      <w:proofErr w:type="spellStart"/>
      <w:r w:rsidRPr="00B443FB">
        <w:rPr>
          <w:rFonts w:asciiTheme="minorHAnsi" w:hAnsiTheme="minorHAnsi"/>
          <w:b/>
        </w:rPr>
        <w:t>Ch</w:t>
      </w:r>
      <w:proofErr w:type="spellEnd"/>
      <w:r w:rsidRPr="00B443FB">
        <w:rPr>
          <w:rFonts w:asciiTheme="minorHAnsi" w:hAnsiTheme="minorHAnsi"/>
          <w:b/>
        </w:rPr>
        <w:t xml:space="preserve"> 2 Enforcement, Subchapter A, General</w:t>
      </w:r>
    </w:p>
    <w:p w14:paraId="14045CCA" w14:textId="77777777" w:rsidR="00846203" w:rsidRPr="00B443FB" w:rsidRDefault="00846203" w:rsidP="0027134A">
      <w:pPr>
        <w:spacing w:line="240" w:lineRule="auto"/>
        <w:jc w:val="both"/>
        <w:rPr>
          <w:rFonts w:asciiTheme="minorHAnsi" w:hAnsiTheme="minorHAnsi"/>
          <w:b/>
        </w:rPr>
      </w:pPr>
      <w:r w:rsidRPr="00B443FB">
        <w:rPr>
          <w:rFonts w:asciiTheme="minorHAnsi" w:hAnsiTheme="minorHAnsi"/>
          <w:b/>
        </w:rPr>
        <w:t xml:space="preserve">10 TAC </w:t>
      </w:r>
      <w:proofErr w:type="spellStart"/>
      <w:r w:rsidRPr="00B443FB">
        <w:rPr>
          <w:rFonts w:asciiTheme="minorHAnsi" w:hAnsiTheme="minorHAnsi"/>
          <w:b/>
        </w:rPr>
        <w:t>Ch</w:t>
      </w:r>
      <w:proofErr w:type="spellEnd"/>
      <w:r w:rsidRPr="00B443FB">
        <w:rPr>
          <w:rFonts w:asciiTheme="minorHAnsi" w:hAnsiTheme="minorHAnsi"/>
          <w:b/>
        </w:rPr>
        <w:t xml:space="preserve"> 2 Enforcement, Subchapter C, Administrative Penalties</w:t>
      </w:r>
    </w:p>
    <w:p w14:paraId="06685D5F" w14:textId="77777777" w:rsidR="00846203" w:rsidRPr="00B443FB" w:rsidRDefault="00846203" w:rsidP="0027134A">
      <w:pPr>
        <w:spacing w:line="240" w:lineRule="auto"/>
        <w:jc w:val="both"/>
        <w:rPr>
          <w:rFonts w:asciiTheme="minorHAnsi" w:hAnsiTheme="minorHAnsi" w:cs="Garamond-Bold"/>
          <w:b/>
          <w:bCs/>
        </w:rPr>
      </w:pPr>
      <w:r w:rsidRPr="00B443FB">
        <w:rPr>
          <w:rFonts w:asciiTheme="minorHAnsi" w:hAnsiTheme="minorHAnsi"/>
          <w:b/>
        </w:rPr>
        <w:t xml:space="preserve">10 TAC </w:t>
      </w:r>
      <w:proofErr w:type="spellStart"/>
      <w:r w:rsidRPr="00B443FB">
        <w:rPr>
          <w:rFonts w:asciiTheme="minorHAnsi" w:hAnsiTheme="minorHAnsi"/>
          <w:b/>
        </w:rPr>
        <w:t>Ch</w:t>
      </w:r>
      <w:proofErr w:type="spellEnd"/>
      <w:r w:rsidRPr="00B443FB">
        <w:rPr>
          <w:rFonts w:asciiTheme="minorHAnsi" w:hAnsiTheme="minorHAnsi"/>
          <w:b/>
        </w:rPr>
        <w:t xml:space="preserve"> 2 Enforcement, Subchapter D, Debarment </w:t>
      </w:r>
    </w:p>
    <w:p w14:paraId="57E385CD" w14:textId="7EA67E88" w:rsidR="00A0534A" w:rsidRPr="00B443FB" w:rsidRDefault="00A0534A" w:rsidP="0027134A">
      <w:pPr>
        <w:autoSpaceDE w:val="0"/>
        <w:autoSpaceDN w:val="0"/>
        <w:adjustRightInd w:val="0"/>
        <w:spacing w:line="240" w:lineRule="auto"/>
        <w:jc w:val="both"/>
        <w:rPr>
          <w:rFonts w:asciiTheme="minorHAnsi" w:hAnsiTheme="minorHAnsi"/>
          <w:bCs/>
        </w:rPr>
      </w:pPr>
    </w:p>
    <w:sectPr w:rsidR="00A0534A" w:rsidRPr="00B443FB" w:rsidSect="00F04108">
      <w:footerReference w:type="default" r:id="rId11"/>
      <w:pgSz w:w="12240" w:h="15840"/>
      <w:pgMar w:top="63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D8E5" w14:textId="77777777" w:rsidR="001B4BA4" w:rsidRDefault="001B4BA4" w:rsidP="00991EC5">
      <w:pPr>
        <w:spacing w:line="240" w:lineRule="auto"/>
      </w:pPr>
      <w:r>
        <w:separator/>
      </w:r>
    </w:p>
  </w:endnote>
  <w:endnote w:type="continuationSeparator" w:id="0">
    <w:p w14:paraId="3434D0FA" w14:textId="77777777" w:rsidR="001B4BA4" w:rsidRDefault="001B4BA4" w:rsidP="00991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A144" w14:textId="6766E07D" w:rsidR="00F97BCC" w:rsidRPr="00E572C3" w:rsidRDefault="00F97BCC" w:rsidP="00E572C3">
    <w:pPr>
      <w:pStyle w:val="Footer"/>
      <w:jc w:val="right"/>
      <w:rPr>
        <w:sz w:val="18"/>
        <w:szCs w:val="18"/>
      </w:rPr>
    </w:pPr>
    <w:r w:rsidRPr="00E572C3">
      <w:rPr>
        <w:sz w:val="18"/>
        <w:szCs w:val="18"/>
      </w:rPr>
      <w:t xml:space="preserve">Page </w:t>
    </w:r>
    <w:r w:rsidRPr="00E572C3">
      <w:rPr>
        <w:b/>
        <w:sz w:val="18"/>
        <w:szCs w:val="18"/>
      </w:rPr>
      <w:fldChar w:fldCharType="begin"/>
    </w:r>
    <w:r w:rsidRPr="00E572C3">
      <w:rPr>
        <w:b/>
        <w:sz w:val="18"/>
        <w:szCs w:val="18"/>
      </w:rPr>
      <w:instrText xml:space="preserve"> PAGE </w:instrText>
    </w:r>
    <w:r w:rsidRPr="00E572C3">
      <w:rPr>
        <w:b/>
        <w:sz w:val="18"/>
        <w:szCs w:val="18"/>
      </w:rPr>
      <w:fldChar w:fldCharType="separate"/>
    </w:r>
    <w:r w:rsidR="00CB0376">
      <w:rPr>
        <w:b/>
        <w:noProof/>
        <w:sz w:val="18"/>
        <w:szCs w:val="18"/>
      </w:rPr>
      <w:t>21</w:t>
    </w:r>
    <w:r w:rsidRPr="00E572C3">
      <w:rPr>
        <w:b/>
        <w:sz w:val="18"/>
        <w:szCs w:val="18"/>
      </w:rPr>
      <w:fldChar w:fldCharType="end"/>
    </w:r>
    <w:r w:rsidRPr="00E572C3">
      <w:rPr>
        <w:sz w:val="18"/>
        <w:szCs w:val="18"/>
      </w:rPr>
      <w:t xml:space="preserve"> of </w:t>
    </w:r>
    <w:r w:rsidRPr="00E572C3">
      <w:rPr>
        <w:b/>
        <w:sz w:val="18"/>
        <w:szCs w:val="18"/>
      </w:rPr>
      <w:fldChar w:fldCharType="begin"/>
    </w:r>
    <w:r w:rsidRPr="00E572C3">
      <w:rPr>
        <w:b/>
        <w:sz w:val="18"/>
        <w:szCs w:val="18"/>
      </w:rPr>
      <w:instrText xml:space="preserve"> NUMPAGES  </w:instrText>
    </w:r>
    <w:r w:rsidRPr="00E572C3">
      <w:rPr>
        <w:b/>
        <w:sz w:val="18"/>
        <w:szCs w:val="18"/>
      </w:rPr>
      <w:fldChar w:fldCharType="separate"/>
    </w:r>
    <w:r w:rsidR="00CB0376">
      <w:rPr>
        <w:b/>
        <w:noProof/>
        <w:sz w:val="18"/>
        <w:szCs w:val="18"/>
      </w:rPr>
      <w:t>27</w:t>
    </w:r>
    <w:r w:rsidRPr="00E572C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9A15" w14:textId="77777777" w:rsidR="001B4BA4" w:rsidRDefault="001B4BA4" w:rsidP="00991EC5">
      <w:pPr>
        <w:spacing w:line="240" w:lineRule="auto"/>
      </w:pPr>
      <w:r>
        <w:separator/>
      </w:r>
    </w:p>
  </w:footnote>
  <w:footnote w:type="continuationSeparator" w:id="0">
    <w:p w14:paraId="5BC9FDE7" w14:textId="77777777" w:rsidR="001B4BA4" w:rsidRDefault="001B4BA4" w:rsidP="00991E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28B7"/>
    <w:multiLevelType w:val="hybridMultilevel"/>
    <w:tmpl w:val="88AE151A"/>
    <w:lvl w:ilvl="0" w:tplc="A5E605CE">
      <w:start w:val="1"/>
      <w:numFmt w:val="bullet"/>
      <w:lvlText w:val=""/>
      <w:lvlJc w:val="left"/>
      <w:pPr>
        <w:ind w:left="720" w:hanging="360"/>
      </w:pPr>
      <w:rPr>
        <w:rFonts w:ascii="Symbol" w:hAnsi="Symbol" w:hint="default"/>
      </w:rPr>
    </w:lvl>
    <w:lvl w:ilvl="1" w:tplc="E844349E">
      <w:start w:val="1"/>
      <w:numFmt w:val="bullet"/>
      <w:lvlText w:val="o"/>
      <w:lvlJc w:val="left"/>
      <w:pPr>
        <w:ind w:left="1440" w:hanging="360"/>
      </w:pPr>
      <w:rPr>
        <w:rFonts w:ascii="Courier New" w:hAnsi="Courier New" w:hint="default"/>
      </w:rPr>
    </w:lvl>
    <w:lvl w:ilvl="2" w:tplc="E4BA58B6">
      <w:start w:val="1"/>
      <w:numFmt w:val="bullet"/>
      <w:lvlText w:val=""/>
      <w:lvlJc w:val="left"/>
      <w:pPr>
        <w:ind w:left="2160" w:hanging="360"/>
      </w:pPr>
      <w:rPr>
        <w:rFonts w:ascii="Wingdings" w:hAnsi="Wingdings" w:hint="default"/>
      </w:rPr>
    </w:lvl>
    <w:lvl w:ilvl="3" w:tplc="A7585F14">
      <w:start w:val="1"/>
      <w:numFmt w:val="bullet"/>
      <w:lvlText w:val=""/>
      <w:lvlJc w:val="left"/>
      <w:pPr>
        <w:ind w:left="2880" w:hanging="360"/>
      </w:pPr>
      <w:rPr>
        <w:rFonts w:ascii="Symbol" w:hAnsi="Symbol" w:hint="default"/>
      </w:rPr>
    </w:lvl>
    <w:lvl w:ilvl="4" w:tplc="00D6719A">
      <w:start w:val="1"/>
      <w:numFmt w:val="bullet"/>
      <w:lvlText w:val="o"/>
      <w:lvlJc w:val="left"/>
      <w:pPr>
        <w:ind w:left="3600" w:hanging="360"/>
      </w:pPr>
      <w:rPr>
        <w:rFonts w:ascii="Courier New" w:hAnsi="Courier New" w:hint="default"/>
      </w:rPr>
    </w:lvl>
    <w:lvl w:ilvl="5" w:tplc="AABA570C">
      <w:start w:val="1"/>
      <w:numFmt w:val="bullet"/>
      <w:lvlText w:val=""/>
      <w:lvlJc w:val="left"/>
      <w:pPr>
        <w:ind w:left="4320" w:hanging="360"/>
      </w:pPr>
      <w:rPr>
        <w:rFonts w:ascii="Wingdings" w:hAnsi="Wingdings" w:hint="default"/>
      </w:rPr>
    </w:lvl>
    <w:lvl w:ilvl="6" w:tplc="F62C7800">
      <w:start w:val="1"/>
      <w:numFmt w:val="bullet"/>
      <w:lvlText w:val=""/>
      <w:lvlJc w:val="left"/>
      <w:pPr>
        <w:ind w:left="5040" w:hanging="360"/>
      </w:pPr>
      <w:rPr>
        <w:rFonts w:ascii="Symbol" w:hAnsi="Symbol" w:hint="default"/>
      </w:rPr>
    </w:lvl>
    <w:lvl w:ilvl="7" w:tplc="0F905BA4">
      <w:start w:val="1"/>
      <w:numFmt w:val="bullet"/>
      <w:lvlText w:val="o"/>
      <w:lvlJc w:val="left"/>
      <w:pPr>
        <w:ind w:left="5760" w:hanging="360"/>
      </w:pPr>
      <w:rPr>
        <w:rFonts w:ascii="Courier New" w:hAnsi="Courier New" w:hint="default"/>
      </w:rPr>
    </w:lvl>
    <w:lvl w:ilvl="8" w:tplc="2A9E6078">
      <w:start w:val="1"/>
      <w:numFmt w:val="bullet"/>
      <w:lvlText w:val=""/>
      <w:lvlJc w:val="left"/>
      <w:pPr>
        <w:ind w:left="6480" w:hanging="360"/>
      </w:pPr>
      <w:rPr>
        <w:rFonts w:ascii="Wingdings" w:hAnsi="Wingdings" w:hint="default"/>
      </w:rPr>
    </w:lvl>
  </w:abstractNum>
  <w:abstractNum w:abstractNumId="1" w15:restartNumberingAfterBreak="0">
    <w:nsid w:val="325A5628"/>
    <w:multiLevelType w:val="hybridMultilevel"/>
    <w:tmpl w:val="161A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205DA"/>
    <w:multiLevelType w:val="hybridMultilevel"/>
    <w:tmpl w:val="40D47DCC"/>
    <w:lvl w:ilvl="0" w:tplc="A5E605CE">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5834125F"/>
    <w:multiLevelType w:val="hybridMultilevel"/>
    <w:tmpl w:val="FBFE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70"/>
    <w:rsid w:val="00001108"/>
    <w:rsid w:val="0009076D"/>
    <w:rsid w:val="000A1B2F"/>
    <w:rsid w:val="000D05FE"/>
    <w:rsid w:val="001145B9"/>
    <w:rsid w:val="001200C3"/>
    <w:rsid w:val="001312D7"/>
    <w:rsid w:val="00137910"/>
    <w:rsid w:val="00172B4F"/>
    <w:rsid w:val="001A2C55"/>
    <w:rsid w:val="001B4BA4"/>
    <w:rsid w:val="001C62DC"/>
    <w:rsid w:val="00267CF0"/>
    <w:rsid w:val="0027134A"/>
    <w:rsid w:val="00275CF7"/>
    <w:rsid w:val="002A1491"/>
    <w:rsid w:val="002A209E"/>
    <w:rsid w:val="002B567A"/>
    <w:rsid w:val="002F1A49"/>
    <w:rsid w:val="002F4B6D"/>
    <w:rsid w:val="00330549"/>
    <w:rsid w:val="00333EAF"/>
    <w:rsid w:val="00357814"/>
    <w:rsid w:val="003627BD"/>
    <w:rsid w:val="003858B4"/>
    <w:rsid w:val="003A531B"/>
    <w:rsid w:val="003B4213"/>
    <w:rsid w:val="003C5D72"/>
    <w:rsid w:val="00421BC4"/>
    <w:rsid w:val="00422529"/>
    <w:rsid w:val="0043099E"/>
    <w:rsid w:val="00435AE8"/>
    <w:rsid w:val="00466410"/>
    <w:rsid w:val="00472FFB"/>
    <w:rsid w:val="004877B8"/>
    <w:rsid w:val="004D1459"/>
    <w:rsid w:val="004E4104"/>
    <w:rsid w:val="004E5393"/>
    <w:rsid w:val="00510A10"/>
    <w:rsid w:val="00513531"/>
    <w:rsid w:val="005163E4"/>
    <w:rsid w:val="0054638E"/>
    <w:rsid w:val="005500D2"/>
    <w:rsid w:val="00555758"/>
    <w:rsid w:val="00572C41"/>
    <w:rsid w:val="005746F7"/>
    <w:rsid w:val="005932B0"/>
    <w:rsid w:val="005A6501"/>
    <w:rsid w:val="00622B8E"/>
    <w:rsid w:val="0063182F"/>
    <w:rsid w:val="006607C6"/>
    <w:rsid w:val="00662F46"/>
    <w:rsid w:val="00683EFE"/>
    <w:rsid w:val="00692019"/>
    <w:rsid w:val="00694867"/>
    <w:rsid w:val="006A7318"/>
    <w:rsid w:val="006B0531"/>
    <w:rsid w:val="006C1CD6"/>
    <w:rsid w:val="006D5225"/>
    <w:rsid w:val="006E2416"/>
    <w:rsid w:val="006F5E65"/>
    <w:rsid w:val="007042A3"/>
    <w:rsid w:val="0074775E"/>
    <w:rsid w:val="00782BDB"/>
    <w:rsid w:val="00794305"/>
    <w:rsid w:val="007D1AB6"/>
    <w:rsid w:val="00807E85"/>
    <w:rsid w:val="00833C79"/>
    <w:rsid w:val="00846203"/>
    <w:rsid w:val="00873666"/>
    <w:rsid w:val="00890FD6"/>
    <w:rsid w:val="008C16B1"/>
    <w:rsid w:val="008E3997"/>
    <w:rsid w:val="008F715C"/>
    <w:rsid w:val="009311CD"/>
    <w:rsid w:val="00991EC5"/>
    <w:rsid w:val="009D578A"/>
    <w:rsid w:val="009D67EB"/>
    <w:rsid w:val="00A0534A"/>
    <w:rsid w:val="00A10EB9"/>
    <w:rsid w:val="00A56E68"/>
    <w:rsid w:val="00A94F7D"/>
    <w:rsid w:val="00AA4ABE"/>
    <w:rsid w:val="00AC7710"/>
    <w:rsid w:val="00B26082"/>
    <w:rsid w:val="00B443FB"/>
    <w:rsid w:val="00B64CF2"/>
    <w:rsid w:val="00B657AB"/>
    <w:rsid w:val="00B74014"/>
    <w:rsid w:val="00B80474"/>
    <w:rsid w:val="00B842E7"/>
    <w:rsid w:val="00B85370"/>
    <w:rsid w:val="00B93AAA"/>
    <w:rsid w:val="00B97695"/>
    <w:rsid w:val="00BA18E6"/>
    <w:rsid w:val="00BC2758"/>
    <w:rsid w:val="00BD52A9"/>
    <w:rsid w:val="00BE3301"/>
    <w:rsid w:val="00BE3557"/>
    <w:rsid w:val="00C053B5"/>
    <w:rsid w:val="00C15888"/>
    <w:rsid w:val="00C266ED"/>
    <w:rsid w:val="00C6197A"/>
    <w:rsid w:val="00C8547D"/>
    <w:rsid w:val="00CA34FF"/>
    <w:rsid w:val="00CB0376"/>
    <w:rsid w:val="00CB4B19"/>
    <w:rsid w:val="00CB5E25"/>
    <w:rsid w:val="00CB5F10"/>
    <w:rsid w:val="00D10863"/>
    <w:rsid w:val="00D17D19"/>
    <w:rsid w:val="00D9380D"/>
    <w:rsid w:val="00DA6D05"/>
    <w:rsid w:val="00DB3F12"/>
    <w:rsid w:val="00DC4E46"/>
    <w:rsid w:val="00DE0268"/>
    <w:rsid w:val="00E01AF5"/>
    <w:rsid w:val="00E53C44"/>
    <w:rsid w:val="00E572C3"/>
    <w:rsid w:val="00E70113"/>
    <w:rsid w:val="00E94D86"/>
    <w:rsid w:val="00EB15EF"/>
    <w:rsid w:val="00ED3C67"/>
    <w:rsid w:val="00F0322E"/>
    <w:rsid w:val="00F04108"/>
    <w:rsid w:val="00F441E7"/>
    <w:rsid w:val="00F51B2F"/>
    <w:rsid w:val="00F53EE8"/>
    <w:rsid w:val="00F56B85"/>
    <w:rsid w:val="00F81457"/>
    <w:rsid w:val="00F868C1"/>
    <w:rsid w:val="00F94169"/>
    <w:rsid w:val="00F97BCC"/>
    <w:rsid w:val="00FA2A1C"/>
    <w:rsid w:val="00FB13FB"/>
    <w:rsid w:val="00FB58F1"/>
    <w:rsid w:val="018A364E"/>
    <w:rsid w:val="01FBA0AD"/>
    <w:rsid w:val="04B6C891"/>
    <w:rsid w:val="0696432A"/>
    <w:rsid w:val="099E8B7F"/>
    <w:rsid w:val="0A286DD2"/>
    <w:rsid w:val="0A3A9502"/>
    <w:rsid w:val="0A9EC594"/>
    <w:rsid w:val="0AF3A493"/>
    <w:rsid w:val="0B073723"/>
    <w:rsid w:val="0C238598"/>
    <w:rsid w:val="0F1F3E07"/>
    <w:rsid w:val="0FBF6A7B"/>
    <w:rsid w:val="13C0A54C"/>
    <w:rsid w:val="143D4248"/>
    <w:rsid w:val="177A525E"/>
    <w:rsid w:val="1924A8E5"/>
    <w:rsid w:val="19817942"/>
    <w:rsid w:val="198465A8"/>
    <w:rsid w:val="1C2AE734"/>
    <w:rsid w:val="1C65F9F7"/>
    <w:rsid w:val="1EEFD537"/>
    <w:rsid w:val="1FA427A0"/>
    <w:rsid w:val="21906647"/>
    <w:rsid w:val="2548DF0B"/>
    <w:rsid w:val="256665D3"/>
    <w:rsid w:val="265C85A5"/>
    <w:rsid w:val="26F0C6C4"/>
    <w:rsid w:val="272DDE78"/>
    <w:rsid w:val="2996AC51"/>
    <w:rsid w:val="29B34014"/>
    <w:rsid w:val="2CD112FF"/>
    <w:rsid w:val="2DF840D9"/>
    <w:rsid w:val="2E3128A1"/>
    <w:rsid w:val="305C0229"/>
    <w:rsid w:val="312CA2DD"/>
    <w:rsid w:val="32A04BE6"/>
    <w:rsid w:val="3322336E"/>
    <w:rsid w:val="36283D55"/>
    <w:rsid w:val="36AB89A3"/>
    <w:rsid w:val="380A6392"/>
    <w:rsid w:val="385E583B"/>
    <w:rsid w:val="39FF93A5"/>
    <w:rsid w:val="3A2A82B3"/>
    <w:rsid w:val="3ACC9B89"/>
    <w:rsid w:val="3B1EF785"/>
    <w:rsid w:val="3D097EF7"/>
    <w:rsid w:val="3EB5C851"/>
    <w:rsid w:val="3F8A61AA"/>
    <w:rsid w:val="419D2C8A"/>
    <w:rsid w:val="424CE708"/>
    <w:rsid w:val="43925516"/>
    <w:rsid w:val="452EF894"/>
    <w:rsid w:val="4596D0C7"/>
    <w:rsid w:val="45985721"/>
    <w:rsid w:val="46412379"/>
    <w:rsid w:val="4647D313"/>
    <w:rsid w:val="47549D2A"/>
    <w:rsid w:val="47DCF3DA"/>
    <w:rsid w:val="47FAB363"/>
    <w:rsid w:val="4980DB28"/>
    <w:rsid w:val="4A110116"/>
    <w:rsid w:val="4E878B02"/>
    <w:rsid w:val="4F26CAA8"/>
    <w:rsid w:val="507753BE"/>
    <w:rsid w:val="513BA896"/>
    <w:rsid w:val="52D61C0B"/>
    <w:rsid w:val="53961B75"/>
    <w:rsid w:val="5554C317"/>
    <w:rsid w:val="5734ED20"/>
    <w:rsid w:val="5846D5A9"/>
    <w:rsid w:val="5886A1D7"/>
    <w:rsid w:val="58FA7540"/>
    <w:rsid w:val="5AC83724"/>
    <w:rsid w:val="5AECA0C3"/>
    <w:rsid w:val="5B80E4E7"/>
    <w:rsid w:val="5C6C0C4B"/>
    <w:rsid w:val="5E41F98C"/>
    <w:rsid w:val="604A643B"/>
    <w:rsid w:val="6337B905"/>
    <w:rsid w:val="653B8F9F"/>
    <w:rsid w:val="67863453"/>
    <w:rsid w:val="68886C19"/>
    <w:rsid w:val="6A15324E"/>
    <w:rsid w:val="6B4EC3EB"/>
    <w:rsid w:val="6C82232A"/>
    <w:rsid w:val="72062B60"/>
    <w:rsid w:val="72A2570F"/>
    <w:rsid w:val="796689E0"/>
    <w:rsid w:val="796DFFB6"/>
    <w:rsid w:val="79AEB615"/>
    <w:rsid w:val="7A3A43AD"/>
    <w:rsid w:val="7A4118BC"/>
    <w:rsid w:val="7AEB217B"/>
    <w:rsid w:val="7EFCF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A9A0E"/>
  <w15:docId w15:val="{4A61DB00-5EFC-4DCE-95BA-3C17D5FC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F0"/>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1EC5"/>
    <w:pPr>
      <w:tabs>
        <w:tab w:val="center" w:pos="4680"/>
        <w:tab w:val="right" w:pos="9360"/>
      </w:tabs>
    </w:pPr>
  </w:style>
  <w:style w:type="character" w:customStyle="1" w:styleId="HeaderChar">
    <w:name w:val="Header Char"/>
    <w:basedOn w:val="DefaultParagraphFont"/>
    <w:link w:val="Header"/>
    <w:uiPriority w:val="99"/>
    <w:semiHidden/>
    <w:rsid w:val="00991EC5"/>
    <w:rPr>
      <w:sz w:val="24"/>
      <w:szCs w:val="24"/>
    </w:rPr>
  </w:style>
  <w:style w:type="paragraph" w:styleId="Footer">
    <w:name w:val="footer"/>
    <w:basedOn w:val="Normal"/>
    <w:link w:val="FooterChar"/>
    <w:uiPriority w:val="99"/>
    <w:unhideWhenUsed/>
    <w:rsid w:val="00991EC5"/>
    <w:pPr>
      <w:tabs>
        <w:tab w:val="center" w:pos="4680"/>
        <w:tab w:val="right" w:pos="9360"/>
      </w:tabs>
    </w:pPr>
  </w:style>
  <w:style w:type="character" w:customStyle="1" w:styleId="FooterChar">
    <w:name w:val="Footer Char"/>
    <w:basedOn w:val="DefaultParagraphFont"/>
    <w:link w:val="Footer"/>
    <w:uiPriority w:val="99"/>
    <w:rsid w:val="00991EC5"/>
    <w:rPr>
      <w:sz w:val="24"/>
      <w:szCs w:val="24"/>
    </w:rPr>
  </w:style>
  <w:style w:type="paragraph" w:styleId="BalloonText">
    <w:name w:val="Balloon Text"/>
    <w:basedOn w:val="Normal"/>
    <w:link w:val="BalloonTextChar"/>
    <w:uiPriority w:val="99"/>
    <w:semiHidden/>
    <w:unhideWhenUsed/>
    <w:rsid w:val="001A2C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55"/>
    <w:rPr>
      <w:rFonts w:ascii="Tahoma" w:hAnsi="Tahoma" w:cs="Tahoma"/>
      <w:sz w:val="16"/>
      <w:szCs w:val="16"/>
    </w:rPr>
  </w:style>
  <w:style w:type="paragraph" w:styleId="ListParagraph">
    <w:name w:val="List Paragraph"/>
    <w:basedOn w:val="Normal"/>
    <w:uiPriority w:val="34"/>
    <w:qFormat/>
    <w:rsid w:val="004E5393"/>
    <w:pPr>
      <w:ind w:left="720"/>
      <w:contextualSpacing/>
    </w:pPr>
  </w:style>
  <w:style w:type="character" w:styleId="CommentReference">
    <w:name w:val="annotation reference"/>
    <w:basedOn w:val="DefaultParagraphFont"/>
    <w:uiPriority w:val="99"/>
    <w:semiHidden/>
    <w:unhideWhenUsed/>
    <w:rsid w:val="00ED3C67"/>
    <w:rPr>
      <w:sz w:val="16"/>
      <w:szCs w:val="16"/>
    </w:rPr>
  </w:style>
  <w:style w:type="paragraph" w:styleId="CommentText">
    <w:name w:val="annotation text"/>
    <w:basedOn w:val="Normal"/>
    <w:link w:val="CommentTextChar"/>
    <w:uiPriority w:val="99"/>
    <w:semiHidden/>
    <w:unhideWhenUsed/>
    <w:rsid w:val="00ED3C67"/>
    <w:pPr>
      <w:spacing w:line="240" w:lineRule="auto"/>
    </w:pPr>
    <w:rPr>
      <w:sz w:val="20"/>
      <w:szCs w:val="20"/>
    </w:rPr>
  </w:style>
  <w:style w:type="character" w:customStyle="1" w:styleId="CommentTextChar">
    <w:name w:val="Comment Text Char"/>
    <w:basedOn w:val="DefaultParagraphFont"/>
    <w:link w:val="CommentText"/>
    <w:uiPriority w:val="99"/>
    <w:semiHidden/>
    <w:rsid w:val="00ED3C67"/>
  </w:style>
  <w:style w:type="paragraph" w:styleId="CommentSubject">
    <w:name w:val="annotation subject"/>
    <w:basedOn w:val="CommentText"/>
    <w:next w:val="CommentText"/>
    <w:link w:val="CommentSubjectChar"/>
    <w:uiPriority w:val="99"/>
    <w:semiHidden/>
    <w:unhideWhenUsed/>
    <w:rsid w:val="00ED3C67"/>
    <w:rPr>
      <w:b/>
      <w:bCs/>
    </w:rPr>
  </w:style>
  <w:style w:type="character" w:customStyle="1" w:styleId="CommentSubjectChar">
    <w:name w:val="Comment Subject Char"/>
    <w:basedOn w:val="CommentTextChar"/>
    <w:link w:val="CommentSubject"/>
    <w:uiPriority w:val="99"/>
    <w:semiHidden/>
    <w:rsid w:val="00ED3C67"/>
    <w:rPr>
      <w:b/>
      <w:bCs/>
    </w:rPr>
  </w:style>
  <w:style w:type="paragraph" w:styleId="Revision">
    <w:name w:val="Revision"/>
    <w:hidden/>
    <w:uiPriority w:val="99"/>
    <w:semiHidden/>
    <w:rsid w:val="00ED3C67"/>
    <w:rPr>
      <w:sz w:val="24"/>
      <w:szCs w:val="24"/>
    </w:rPr>
  </w:style>
  <w:style w:type="character" w:customStyle="1" w:styleId="normaltextrun">
    <w:name w:val="normaltextrun"/>
    <w:rsid w:val="00FB58F1"/>
  </w:style>
  <w:style w:type="character" w:customStyle="1" w:styleId="eop">
    <w:name w:val="eop"/>
    <w:rsid w:val="00FB58F1"/>
  </w:style>
  <w:style w:type="paragraph" w:styleId="NoSpacing">
    <w:name w:val="No Spacing"/>
    <w:uiPriority w:val="1"/>
    <w:qFormat/>
    <w:rsid w:val="00A0534A"/>
    <w:rPr>
      <w:rFonts w:asciiTheme="minorHAnsi" w:eastAsiaTheme="minorHAnsi" w:hAnsiTheme="minorHAnsi" w:cstheme="minorBidi"/>
      <w:sz w:val="22"/>
      <w:szCs w:val="22"/>
    </w:rPr>
  </w:style>
  <w:style w:type="table" w:styleId="TableGrid">
    <w:name w:val="Table Grid"/>
    <w:basedOn w:val="TableNormal"/>
    <w:uiPriority w:val="59"/>
    <w:rsid w:val="00890F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8698">
      <w:bodyDiv w:val="1"/>
      <w:marLeft w:val="0"/>
      <w:marRight w:val="0"/>
      <w:marTop w:val="0"/>
      <w:marBottom w:val="0"/>
      <w:divBdr>
        <w:top w:val="none" w:sz="0" w:space="0" w:color="auto"/>
        <w:left w:val="none" w:sz="0" w:space="0" w:color="auto"/>
        <w:bottom w:val="none" w:sz="0" w:space="0" w:color="auto"/>
        <w:right w:val="none" w:sz="0" w:space="0" w:color="auto"/>
      </w:divBdr>
    </w:div>
    <w:div w:id="14529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fids/201405135-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xreg.sos.state.tx.us/fids/201405135-3.html" TargetMode="External"/><Relationship Id="rId4" Type="http://schemas.openxmlformats.org/officeDocument/2006/relationships/settings" Target="settings.xml"/><Relationship Id="rId9" Type="http://schemas.openxmlformats.org/officeDocument/2006/relationships/hyperlink" Target="https://texreg.sos.state.tx.us/fids/20140513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DHCA-Templates\1211_BOARD%20ACTION%20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503C-01E9-4A35-B37F-31659573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1211_BOARD ACTION REQUEST.dotx</Template>
  <TotalTime>2</TotalTime>
  <Pages>27</Pages>
  <Words>8941</Words>
  <Characters>50966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59788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Murphy</dc:creator>
  <cp:lastModifiedBy>Justin Merrill</cp:lastModifiedBy>
  <cp:revision>2</cp:revision>
  <cp:lastPrinted>2015-06-23T19:02:00Z</cp:lastPrinted>
  <dcterms:created xsi:type="dcterms:W3CDTF">2020-11-23T15:20:00Z</dcterms:created>
  <dcterms:modified xsi:type="dcterms:W3CDTF">2020-11-23T15:20:00Z</dcterms:modified>
</cp:coreProperties>
</file>